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51F" w:rsidRDefault="00DC78ED" w:rsidP="00423539">
      <w:r>
        <w:t xml:space="preserve">Article Word Count: </w:t>
      </w:r>
      <w:r w:rsidR="005750D2">
        <w:t>1,756 words</w:t>
      </w:r>
    </w:p>
    <w:tbl>
      <w:tblPr>
        <w:tblStyle w:val="TableGrid"/>
        <w:tblW w:w="0" w:type="auto"/>
        <w:tblLook w:val="04A0" w:firstRow="1" w:lastRow="0" w:firstColumn="1" w:lastColumn="0" w:noHBand="0" w:noVBand="1"/>
      </w:tblPr>
      <w:tblGrid>
        <w:gridCol w:w="2335"/>
        <w:gridCol w:w="7015"/>
      </w:tblGrid>
      <w:tr w:rsidR="009D451F" w:rsidTr="009D451F">
        <w:tc>
          <w:tcPr>
            <w:tcW w:w="2335" w:type="dxa"/>
            <w:vAlign w:val="center"/>
          </w:tcPr>
          <w:p w:rsidR="009D451F" w:rsidRPr="0085257E" w:rsidRDefault="009D451F" w:rsidP="009D451F">
            <w:pPr>
              <w:rPr>
                <w:b/>
              </w:rPr>
            </w:pPr>
            <w:r w:rsidRPr="0085257E">
              <w:rPr>
                <w:b/>
              </w:rPr>
              <w:t>Article Title:</w:t>
            </w:r>
          </w:p>
        </w:tc>
        <w:tc>
          <w:tcPr>
            <w:tcW w:w="7015" w:type="dxa"/>
            <w:vAlign w:val="center"/>
          </w:tcPr>
          <w:p w:rsidR="009D451F" w:rsidRDefault="009D451F" w:rsidP="009D451F">
            <w:r>
              <w:t xml:space="preserve">The Impact of Aging on Limb Regeneration </w:t>
            </w:r>
            <w:r>
              <w:rPr>
                <w:highlight w:val="yellow"/>
              </w:rPr>
              <w:t>(7 words)</w:t>
            </w:r>
          </w:p>
        </w:tc>
      </w:tr>
      <w:tr w:rsidR="009D451F" w:rsidTr="009D451F">
        <w:tc>
          <w:tcPr>
            <w:tcW w:w="2335" w:type="dxa"/>
            <w:vAlign w:val="center"/>
          </w:tcPr>
          <w:p w:rsidR="009D451F" w:rsidRPr="0085257E" w:rsidRDefault="009D451F" w:rsidP="009D451F">
            <w:pPr>
              <w:rPr>
                <w:b/>
              </w:rPr>
            </w:pPr>
            <w:r w:rsidRPr="0085257E">
              <w:rPr>
                <w:b/>
              </w:rPr>
              <w:t>Author:</w:t>
            </w:r>
          </w:p>
        </w:tc>
        <w:tc>
          <w:tcPr>
            <w:tcW w:w="7015" w:type="dxa"/>
            <w:vAlign w:val="center"/>
          </w:tcPr>
          <w:p w:rsidR="009D451F" w:rsidRDefault="009D451F" w:rsidP="009D451F">
            <w:r>
              <w:t xml:space="preserve">By Ian </w:t>
            </w:r>
            <w:proofErr w:type="spellStart"/>
            <w:r>
              <w:t>Guang</w:t>
            </w:r>
            <w:proofErr w:type="spellEnd"/>
            <w:r>
              <w:t xml:space="preserve"> Xia '21</w:t>
            </w:r>
          </w:p>
        </w:tc>
      </w:tr>
      <w:tr w:rsidR="009D451F" w:rsidTr="009D451F">
        <w:tc>
          <w:tcPr>
            <w:tcW w:w="2335" w:type="dxa"/>
            <w:vAlign w:val="center"/>
          </w:tcPr>
          <w:p w:rsidR="009D451F" w:rsidRPr="0085257E" w:rsidRDefault="009D451F" w:rsidP="009D451F">
            <w:pPr>
              <w:rPr>
                <w:b/>
              </w:rPr>
            </w:pPr>
            <w:r w:rsidRPr="0085257E">
              <w:rPr>
                <w:b/>
              </w:rPr>
              <w:t>Article Teaser:</w:t>
            </w:r>
          </w:p>
        </w:tc>
        <w:tc>
          <w:tcPr>
            <w:tcW w:w="7015" w:type="dxa"/>
            <w:vAlign w:val="center"/>
          </w:tcPr>
          <w:p w:rsidR="009D451F" w:rsidRDefault="009D451F" w:rsidP="009D451F">
            <w:r>
              <w:t xml:space="preserve">Studying how aging affects bone degradation and formation in mice alludes to future advancements in regenerative medicine therapies for older patients. </w:t>
            </w:r>
            <w:r w:rsidRPr="00423539">
              <w:rPr>
                <w:highlight w:val="yellow"/>
              </w:rPr>
              <w:t>(</w:t>
            </w:r>
            <w:r>
              <w:rPr>
                <w:highlight w:val="yellow"/>
              </w:rPr>
              <w:t>21</w:t>
            </w:r>
            <w:r w:rsidRPr="00423539">
              <w:rPr>
                <w:highlight w:val="yellow"/>
              </w:rPr>
              <w:t xml:space="preserve"> words)</w:t>
            </w:r>
          </w:p>
        </w:tc>
      </w:tr>
      <w:tr w:rsidR="009D451F" w:rsidTr="009D451F">
        <w:tc>
          <w:tcPr>
            <w:tcW w:w="2335" w:type="dxa"/>
            <w:vAlign w:val="center"/>
          </w:tcPr>
          <w:p w:rsidR="009D451F" w:rsidRPr="0085257E" w:rsidRDefault="009D451F" w:rsidP="009D451F">
            <w:pPr>
              <w:rPr>
                <w:b/>
              </w:rPr>
            </w:pPr>
            <w:r w:rsidRPr="0085257E">
              <w:rPr>
                <w:b/>
              </w:rPr>
              <w:t>Author Biography:</w:t>
            </w:r>
          </w:p>
        </w:tc>
        <w:tc>
          <w:tcPr>
            <w:tcW w:w="7015" w:type="dxa"/>
            <w:vAlign w:val="center"/>
          </w:tcPr>
          <w:p w:rsidR="009D451F" w:rsidRDefault="009D451F" w:rsidP="009D451F">
            <w:r w:rsidRPr="00D452FC">
              <w:t xml:space="preserve">Ian </w:t>
            </w:r>
            <w:proofErr w:type="spellStart"/>
            <w:r w:rsidRPr="00D452FC">
              <w:t>Guang</w:t>
            </w:r>
            <w:proofErr w:type="spellEnd"/>
            <w:r w:rsidRPr="00D452FC">
              <w:t xml:space="preserve"> Xia '21 is a biomedical engineering major with a minor in electrical engineering from San Antonio, Texas. Ian started conducting academic research at Claudia Taylor Johnson High School for his AP chemistry teacher during senior year, and carried that interest in academic research into his undergraduate studies. Ian plans to work in the software industry and possibly conduct research on current questions and issues he encounters there.</w:t>
            </w:r>
            <w:r>
              <w:t xml:space="preserve"> </w:t>
            </w:r>
            <w:r>
              <w:rPr>
                <w:highlight w:val="yellow"/>
              </w:rPr>
              <w:t>(69 words)</w:t>
            </w:r>
          </w:p>
        </w:tc>
      </w:tr>
      <w:tr w:rsidR="009D451F" w:rsidTr="009D451F">
        <w:tc>
          <w:tcPr>
            <w:tcW w:w="2335" w:type="dxa"/>
            <w:vAlign w:val="center"/>
          </w:tcPr>
          <w:p w:rsidR="009D451F" w:rsidRPr="0085257E" w:rsidRDefault="009D451F" w:rsidP="009D451F">
            <w:pPr>
              <w:rPr>
                <w:b/>
              </w:rPr>
            </w:pPr>
            <w:r w:rsidRPr="0085257E">
              <w:rPr>
                <w:b/>
              </w:rPr>
              <w:t>Pull Quote:</w:t>
            </w:r>
          </w:p>
        </w:tc>
        <w:tc>
          <w:tcPr>
            <w:tcW w:w="7015" w:type="dxa"/>
            <w:vAlign w:val="center"/>
          </w:tcPr>
          <w:p w:rsidR="009D451F" w:rsidRDefault="009D451F" w:rsidP="009D451F">
            <w:r>
              <w:t xml:space="preserve">Studying these vertebrates will allow us to identify mechanisms that could possibly be translated to induce limb regeneration in humans. </w:t>
            </w:r>
            <w:r>
              <w:rPr>
                <w:highlight w:val="yellow"/>
              </w:rPr>
              <w:t>(20 words)</w:t>
            </w:r>
          </w:p>
        </w:tc>
      </w:tr>
      <w:tr w:rsidR="009D451F" w:rsidTr="009D451F">
        <w:tc>
          <w:tcPr>
            <w:tcW w:w="2335" w:type="dxa"/>
            <w:vAlign w:val="center"/>
          </w:tcPr>
          <w:p w:rsidR="009D451F" w:rsidRPr="0085257E" w:rsidRDefault="009D451F" w:rsidP="009D451F">
            <w:pPr>
              <w:rPr>
                <w:b/>
              </w:rPr>
            </w:pPr>
            <w:r w:rsidRPr="0085257E">
              <w:rPr>
                <w:b/>
              </w:rPr>
              <w:t>Pull Quote:</w:t>
            </w:r>
          </w:p>
        </w:tc>
        <w:tc>
          <w:tcPr>
            <w:tcW w:w="7015" w:type="dxa"/>
            <w:vAlign w:val="center"/>
          </w:tcPr>
          <w:p w:rsidR="009D451F" w:rsidRDefault="009D451F" w:rsidP="009D451F">
            <w:r>
              <w:t xml:space="preserve">To study this age-related decline of regenerative power, the digit tips of mice…were analyzed at different time points of their regenerative processes. </w:t>
            </w:r>
            <w:r>
              <w:rPr>
                <w:highlight w:val="yellow"/>
              </w:rPr>
              <w:t>(22 words)</w:t>
            </w:r>
          </w:p>
        </w:tc>
      </w:tr>
      <w:tr w:rsidR="009D451F" w:rsidTr="009D451F">
        <w:tc>
          <w:tcPr>
            <w:tcW w:w="2335" w:type="dxa"/>
            <w:vAlign w:val="center"/>
          </w:tcPr>
          <w:p w:rsidR="009D451F" w:rsidRPr="0085257E" w:rsidRDefault="009D451F" w:rsidP="009D451F">
            <w:pPr>
              <w:rPr>
                <w:b/>
              </w:rPr>
            </w:pPr>
            <w:r w:rsidRPr="0085257E">
              <w:rPr>
                <w:b/>
              </w:rPr>
              <w:t>Pull Quote:</w:t>
            </w:r>
          </w:p>
        </w:tc>
        <w:tc>
          <w:tcPr>
            <w:tcW w:w="7015" w:type="dxa"/>
            <w:vAlign w:val="center"/>
          </w:tcPr>
          <w:p w:rsidR="009D451F" w:rsidRDefault="009D451F" w:rsidP="009D451F">
            <w:r w:rsidRPr="006D3917">
              <w:t>…</w:t>
            </w:r>
            <w:r>
              <w:t>p</w:t>
            </w:r>
            <w:r w:rsidRPr="006D3917">
              <w:t>rogeria significantly alters the timing and magnitude of both bone degradation and bone formation…</w:t>
            </w:r>
            <w:r>
              <w:t xml:space="preserve"> </w:t>
            </w:r>
            <w:r>
              <w:rPr>
                <w:highlight w:val="yellow"/>
              </w:rPr>
              <w:t>(14 words)</w:t>
            </w:r>
          </w:p>
        </w:tc>
      </w:tr>
      <w:tr w:rsidR="009D451F" w:rsidTr="009D451F">
        <w:tc>
          <w:tcPr>
            <w:tcW w:w="2335" w:type="dxa"/>
            <w:vAlign w:val="center"/>
          </w:tcPr>
          <w:p w:rsidR="009D451F" w:rsidRPr="0085257E" w:rsidRDefault="009D451F" w:rsidP="009D451F">
            <w:pPr>
              <w:rPr>
                <w:b/>
              </w:rPr>
            </w:pPr>
            <w:r w:rsidRPr="0085257E">
              <w:rPr>
                <w:b/>
              </w:rPr>
              <w:t>Example:</w:t>
            </w:r>
          </w:p>
        </w:tc>
        <w:tc>
          <w:tcPr>
            <w:tcW w:w="7015" w:type="dxa"/>
            <w:vAlign w:val="center"/>
          </w:tcPr>
          <w:p w:rsidR="009D451F" w:rsidRDefault="009D451F" w:rsidP="009D451F">
            <w:pPr>
              <w:rPr>
                <w:sz w:val="20"/>
                <w:szCs w:val="20"/>
              </w:rPr>
            </w:pPr>
            <w:r w:rsidRPr="00881AEC">
              <w:rPr>
                <w:sz w:val="20"/>
                <w:szCs w:val="20"/>
              </w:rPr>
              <w:t>Data generated through computer-assisted microtomography of the regenerating digits found that both bone resorption and bone formation were delayed in the digit tip bone of mice with progeria when com</w:t>
            </w:r>
            <w:r w:rsidRPr="00881AEC">
              <w:rPr>
                <w:sz w:val="20"/>
                <w:szCs w:val="20"/>
              </w:rPr>
              <w:softHyphen/>
              <w:t xml:space="preserve">pared to mice without it. This data is displayed in </w:t>
            </w:r>
            <w:r w:rsidRPr="00881AEC">
              <w:rPr>
                <w:b/>
                <w:bCs/>
                <w:sz w:val="20"/>
                <w:szCs w:val="20"/>
                <w:u w:val="single"/>
              </w:rPr>
              <w:t>Fig</w:t>
            </w:r>
            <w:r w:rsidRPr="00881AEC">
              <w:rPr>
                <w:b/>
                <w:bCs/>
                <w:sz w:val="20"/>
                <w:szCs w:val="20"/>
                <w:u w:val="single"/>
              </w:rPr>
              <w:softHyphen/>
              <w:t>ure 1</w:t>
            </w:r>
            <w:r w:rsidRPr="00881AEC">
              <w:rPr>
                <w:sz w:val="20"/>
                <w:szCs w:val="20"/>
              </w:rPr>
              <w:t>. The point of lowest bone volume occurs at 7–10 days post amputation (DPA) for mice without progeria while occurring at 10–21 DPA for mice with progeria. Before these specified time points, bone resorption or degradation is occurring as osteoclasts eat away at dam</w:t>
            </w:r>
            <w:r w:rsidRPr="00881AEC">
              <w:rPr>
                <w:sz w:val="20"/>
                <w:szCs w:val="20"/>
              </w:rPr>
              <w:softHyphen/>
              <w:t>aged bone structures near the wound site to clear away debris for bone formation to begin. Following bone resorp</w:t>
            </w:r>
            <w:r w:rsidRPr="00881AEC">
              <w:rPr>
                <w:sz w:val="20"/>
                <w:szCs w:val="20"/>
              </w:rPr>
              <w:softHyphen/>
              <w:t xml:space="preserve">tion, new bone is formed, and regeneration is completed at 28 DPA in healthy digits. As can be seen in </w:t>
            </w:r>
            <w:r w:rsidRPr="00881AEC">
              <w:rPr>
                <w:b/>
                <w:bCs/>
                <w:sz w:val="20"/>
                <w:szCs w:val="20"/>
                <w:u w:val="single"/>
              </w:rPr>
              <w:t>Figure 1C</w:t>
            </w:r>
            <w:r w:rsidRPr="00881AEC">
              <w:rPr>
                <w:sz w:val="20"/>
                <w:szCs w:val="20"/>
              </w:rPr>
              <w:t>, dig</w:t>
            </w:r>
            <w:r w:rsidRPr="00881AEC">
              <w:rPr>
                <w:sz w:val="20"/>
                <w:szCs w:val="20"/>
              </w:rPr>
              <w:softHyphen/>
              <w:t>its from progeria mice exhibit a much lower bone volume, which may indicate that proge</w:t>
            </w:r>
            <w:r w:rsidRPr="00881AEC">
              <w:rPr>
                <w:sz w:val="20"/>
                <w:szCs w:val="20"/>
              </w:rPr>
              <w:softHyphen/>
              <w:t>ria inhibits regeneration.</w:t>
            </w:r>
          </w:p>
          <w:p w:rsidR="009D451F" w:rsidRDefault="009D451F" w:rsidP="009D451F">
            <w:pPr>
              <w:rPr>
                <w:sz w:val="20"/>
                <w:szCs w:val="20"/>
              </w:rPr>
            </w:pPr>
          </w:p>
          <w:p w:rsidR="009D451F" w:rsidRDefault="009D451F" w:rsidP="009D451F">
            <w:pPr>
              <w:rPr>
                <w:sz w:val="20"/>
                <w:szCs w:val="20"/>
              </w:rPr>
            </w:pPr>
            <w:r>
              <w:rPr>
                <w:sz w:val="20"/>
                <w:szCs w:val="20"/>
              </w:rPr>
              <w:t>[figure]</w:t>
            </w:r>
          </w:p>
          <w:p w:rsidR="009D451F" w:rsidRPr="00881AEC" w:rsidRDefault="009D451F" w:rsidP="009D451F">
            <w:pPr>
              <w:rPr>
                <w:sz w:val="20"/>
                <w:szCs w:val="20"/>
              </w:rPr>
            </w:pPr>
          </w:p>
          <w:p w:rsidR="009D451F" w:rsidRDefault="009D451F" w:rsidP="009D451F">
            <w:r w:rsidRPr="00881AEC">
              <w:rPr>
                <w:b/>
                <w:bCs/>
                <w:i/>
                <w:iCs/>
                <w:sz w:val="20"/>
                <w:szCs w:val="20"/>
              </w:rPr>
              <w:t xml:space="preserve">Figure 1. </w:t>
            </w:r>
            <w:r w:rsidRPr="00881AEC">
              <w:rPr>
                <w:i/>
                <w:iCs/>
                <w:sz w:val="20"/>
                <w:szCs w:val="20"/>
              </w:rPr>
              <w:t xml:space="preserve">This figure shows a general schematic of </w:t>
            </w:r>
            <w:r w:rsidRPr="00881AEC">
              <w:rPr>
                <w:b/>
                <w:bCs/>
                <w:i/>
                <w:iCs/>
                <w:sz w:val="20"/>
                <w:szCs w:val="20"/>
              </w:rPr>
              <w:t xml:space="preserve">(A) </w:t>
            </w:r>
            <w:r w:rsidRPr="00881AEC">
              <w:rPr>
                <w:i/>
                <w:iCs/>
                <w:sz w:val="20"/>
                <w:szCs w:val="20"/>
              </w:rPr>
              <w:t xml:space="preserve">the distinct steps which occur in the process of digit bone regeneration in mice illustrated by how the bone looks during each phase, and </w:t>
            </w:r>
            <w:r w:rsidRPr="00881AEC">
              <w:rPr>
                <w:b/>
                <w:bCs/>
                <w:i/>
                <w:iCs/>
                <w:sz w:val="20"/>
                <w:szCs w:val="20"/>
              </w:rPr>
              <w:t xml:space="preserve">(B) </w:t>
            </w:r>
            <w:r w:rsidRPr="00881AEC">
              <w:rPr>
                <w:i/>
                <w:iCs/>
                <w:sz w:val="20"/>
                <w:szCs w:val="20"/>
              </w:rPr>
              <w:t xml:space="preserve">differences in minimal bone volume (smallest bone volume caused by bone resorption) and </w:t>
            </w:r>
            <w:r w:rsidRPr="00881AEC">
              <w:rPr>
                <w:b/>
                <w:bCs/>
                <w:i/>
                <w:iCs/>
                <w:sz w:val="20"/>
                <w:szCs w:val="20"/>
              </w:rPr>
              <w:t xml:space="preserve">(C) </w:t>
            </w:r>
            <w:r w:rsidRPr="00881AEC">
              <w:rPr>
                <w:i/>
                <w:iCs/>
                <w:sz w:val="20"/>
                <w:szCs w:val="20"/>
              </w:rPr>
              <w:t xml:space="preserve">final bone volume (bone volume at 28 DPA), relative to </w:t>
            </w:r>
            <w:proofErr w:type="spellStart"/>
            <w:r w:rsidRPr="00881AEC">
              <w:rPr>
                <w:i/>
                <w:iCs/>
                <w:sz w:val="20"/>
                <w:szCs w:val="20"/>
              </w:rPr>
              <w:t>preamputation</w:t>
            </w:r>
            <w:proofErr w:type="spellEnd"/>
            <w:r w:rsidRPr="00881AEC">
              <w:rPr>
                <w:i/>
                <w:iCs/>
                <w:sz w:val="20"/>
                <w:szCs w:val="20"/>
              </w:rPr>
              <w:t xml:space="preserve"> volume, between progeria mice and healthy control mice (WT). The dashed line indicates 50% of the pre-amputation bone volume in B and 100% in C. Each data point represents one digit while bars indicate the mean ± 95% confidence interval. BV means bone volume; DPA, days post amputation; WT, wild type.</w:t>
            </w:r>
          </w:p>
        </w:tc>
      </w:tr>
    </w:tbl>
    <w:p w:rsidR="0035211A" w:rsidRDefault="0035211A" w:rsidP="006D3917"/>
    <w:p w:rsidR="00423539" w:rsidRDefault="00423539" w:rsidP="006D3917">
      <w:r>
        <w:br w:type="page"/>
      </w:r>
    </w:p>
    <w:p w:rsidR="006D3917" w:rsidRDefault="00DC78ED" w:rsidP="00423539">
      <w:r>
        <w:lastRenderedPageBreak/>
        <w:t>Article Word Count:</w:t>
      </w:r>
      <w:r w:rsidR="005750D2">
        <w:t xml:space="preserve"> 1,993 words</w:t>
      </w:r>
    </w:p>
    <w:tbl>
      <w:tblPr>
        <w:tblStyle w:val="TableGrid"/>
        <w:tblW w:w="0" w:type="auto"/>
        <w:tblLook w:val="04A0" w:firstRow="1" w:lastRow="0" w:firstColumn="1" w:lastColumn="0" w:noHBand="0" w:noVBand="1"/>
      </w:tblPr>
      <w:tblGrid>
        <w:gridCol w:w="2065"/>
        <w:gridCol w:w="7285"/>
      </w:tblGrid>
      <w:tr w:rsidR="009D451F" w:rsidTr="0085257E">
        <w:tc>
          <w:tcPr>
            <w:tcW w:w="2065" w:type="dxa"/>
          </w:tcPr>
          <w:p w:rsidR="009D451F" w:rsidRPr="0085257E" w:rsidRDefault="009D451F" w:rsidP="00934256">
            <w:pPr>
              <w:rPr>
                <w:b/>
              </w:rPr>
            </w:pPr>
            <w:r w:rsidRPr="0085257E">
              <w:rPr>
                <w:b/>
              </w:rPr>
              <w:t>Article Title:</w:t>
            </w:r>
          </w:p>
        </w:tc>
        <w:tc>
          <w:tcPr>
            <w:tcW w:w="7285" w:type="dxa"/>
          </w:tcPr>
          <w:p w:rsidR="009D451F" w:rsidRDefault="009D451F" w:rsidP="00934256">
            <w:r>
              <w:t xml:space="preserve">Exploration of Technological Distractions through Dance </w:t>
            </w:r>
            <w:r>
              <w:rPr>
                <w:highlight w:val="yellow"/>
              </w:rPr>
              <w:t>(6 words)</w:t>
            </w:r>
          </w:p>
        </w:tc>
      </w:tr>
      <w:tr w:rsidR="009D451F" w:rsidTr="0085257E">
        <w:tc>
          <w:tcPr>
            <w:tcW w:w="2065" w:type="dxa"/>
          </w:tcPr>
          <w:p w:rsidR="009D451F" w:rsidRPr="0085257E" w:rsidRDefault="009D451F" w:rsidP="00934256">
            <w:pPr>
              <w:rPr>
                <w:b/>
              </w:rPr>
            </w:pPr>
            <w:r w:rsidRPr="0085257E">
              <w:rPr>
                <w:b/>
              </w:rPr>
              <w:t>Author:</w:t>
            </w:r>
          </w:p>
        </w:tc>
        <w:tc>
          <w:tcPr>
            <w:tcW w:w="7285" w:type="dxa"/>
          </w:tcPr>
          <w:p w:rsidR="009D451F" w:rsidRDefault="009D451F" w:rsidP="00934256">
            <w:r>
              <w:t xml:space="preserve">By Madeleine </w:t>
            </w:r>
            <w:proofErr w:type="spellStart"/>
            <w:r>
              <w:t>Dardeau</w:t>
            </w:r>
            <w:proofErr w:type="spellEnd"/>
            <w:r>
              <w:t xml:space="preserve"> ’20 and Madelyn </w:t>
            </w:r>
            <w:proofErr w:type="spellStart"/>
            <w:r>
              <w:t>Klumb</w:t>
            </w:r>
            <w:proofErr w:type="spellEnd"/>
            <w:r>
              <w:t xml:space="preserve"> ‘20</w:t>
            </w:r>
          </w:p>
        </w:tc>
      </w:tr>
      <w:tr w:rsidR="009D451F" w:rsidTr="0085257E">
        <w:tc>
          <w:tcPr>
            <w:tcW w:w="2065" w:type="dxa"/>
          </w:tcPr>
          <w:p w:rsidR="009D451F" w:rsidRPr="0085257E" w:rsidRDefault="009D451F" w:rsidP="00934256">
            <w:pPr>
              <w:rPr>
                <w:b/>
              </w:rPr>
            </w:pPr>
            <w:r w:rsidRPr="0085257E">
              <w:rPr>
                <w:b/>
              </w:rPr>
              <w:t>Article Teaser:</w:t>
            </w:r>
          </w:p>
        </w:tc>
        <w:tc>
          <w:tcPr>
            <w:tcW w:w="7285" w:type="dxa"/>
          </w:tcPr>
          <w:p w:rsidR="009D451F" w:rsidRPr="0085257E" w:rsidRDefault="009D451F" w:rsidP="00934256">
            <w:pPr>
              <w:rPr>
                <w:highlight w:val="yellow"/>
              </w:rPr>
            </w:pPr>
            <w:r>
              <w:t xml:space="preserve">Visualizing the effects of technological devices on social interactions through dance. </w:t>
            </w:r>
            <w:r>
              <w:rPr>
                <w:highlight w:val="yellow"/>
              </w:rPr>
              <w:t>(11 words)</w:t>
            </w:r>
          </w:p>
        </w:tc>
      </w:tr>
      <w:tr w:rsidR="009D451F" w:rsidTr="0085257E">
        <w:tc>
          <w:tcPr>
            <w:tcW w:w="2065" w:type="dxa"/>
          </w:tcPr>
          <w:p w:rsidR="009D451F" w:rsidRPr="0085257E" w:rsidRDefault="009D451F" w:rsidP="00934256">
            <w:pPr>
              <w:rPr>
                <w:b/>
              </w:rPr>
            </w:pPr>
            <w:r w:rsidRPr="0085257E">
              <w:rPr>
                <w:b/>
              </w:rPr>
              <w:t>Author Biography:</w:t>
            </w:r>
          </w:p>
        </w:tc>
        <w:tc>
          <w:tcPr>
            <w:tcW w:w="7285" w:type="dxa"/>
          </w:tcPr>
          <w:p w:rsidR="009D451F" w:rsidRDefault="009D451F" w:rsidP="00934256">
            <w:r w:rsidRPr="00D452FC">
              <w:t xml:space="preserve">Madeleine </w:t>
            </w:r>
            <w:proofErr w:type="spellStart"/>
            <w:r w:rsidRPr="00D452FC">
              <w:t>Dardeau</w:t>
            </w:r>
            <w:proofErr w:type="spellEnd"/>
            <w:r w:rsidRPr="00D452FC">
              <w:t xml:space="preserve"> '20 is a dance science major from Bastrop, Texas. After graduation, Madeleine plans to continue her studies of dance science and eventually work in a university teaching anatomy and physiology to dance students. In this career, Madeleine hopes to increase the longevity of dancers' careers by combining the art of dance with science.</w:t>
            </w:r>
            <w:r>
              <w:t xml:space="preserve"> </w:t>
            </w:r>
            <w:r>
              <w:rPr>
                <w:highlight w:val="yellow"/>
              </w:rPr>
              <w:t>(55 words)</w:t>
            </w:r>
          </w:p>
        </w:tc>
      </w:tr>
      <w:tr w:rsidR="009D451F" w:rsidTr="0085257E">
        <w:tc>
          <w:tcPr>
            <w:tcW w:w="2065" w:type="dxa"/>
          </w:tcPr>
          <w:p w:rsidR="009D451F" w:rsidRPr="0085257E" w:rsidRDefault="009D451F" w:rsidP="00934256">
            <w:pPr>
              <w:rPr>
                <w:b/>
              </w:rPr>
            </w:pPr>
            <w:r w:rsidRPr="0085257E">
              <w:rPr>
                <w:b/>
              </w:rPr>
              <w:t>Author Biography:</w:t>
            </w:r>
          </w:p>
        </w:tc>
        <w:tc>
          <w:tcPr>
            <w:tcW w:w="7285" w:type="dxa"/>
          </w:tcPr>
          <w:p w:rsidR="009D451F" w:rsidRPr="0085257E" w:rsidRDefault="009D451F" w:rsidP="00934256">
            <w:pPr>
              <w:rPr>
                <w:highlight w:val="yellow"/>
              </w:rPr>
            </w:pPr>
            <w:r w:rsidRPr="00D452FC">
              <w:t xml:space="preserve">Madelyn </w:t>
            </w:r>
            <w:proofErr w:type="spellStart"/>
            <w:r w:rsidRPr="00D452FC">
              <w:t>Klumb</w:t>
            </w:r>
            <w:proofErr w:type="spellEnd"/>
            <w:r w:rsidRPr="00D452FC">
              <w:t xml:space="preserve"> ‘20 is a dance science major from Jourdanton, Texas. She plans to continue her education by receiving a Master of Fine Arts degree at Sam Houston State University so she can reach her dream of becoming a dance teacher at a collegiate level. She hopes to help future students reach their dreams by providing a safe and creative learning space for them.</w:t>
            </w:r>
            <w:r>
              <w:t xml:space="preserve"> </w:t>
            </w:r>
            <w:r>
              <w:rPr>
                <w:highlight w:val="yellow"/>
              </w:rPr>
              <w:t>(64 words)</w:t>
            </w:r>
          </w:p>
        </w:tc>
      </w:tr>
      <w:tr w:rsidR="009D451F" w:rsidTr="0085257E">
        <w:tc>
          <w:tcPr>
            <w:tcW w:w="2065" w:type="dxa"/>
          </w:tcPr>
          <w:p w:rsidR="009D451F" w:rsidRPr="0085257E" w:rsidRDefault="009D451F" w:rsidP="009D451F">
            <w:pPr>
              <w:rPr>
                <w:b/>
              </w:rPr>
            </w:pPr>
            <w:r w:rsidRPr="0085257E">
              <w:rPr>
                <w:b/>
              </w:rPr>
              <w:t>Pull Quote:</w:t>
            </w:r>
          </w:p>
        </w:tc>
        <w:tc>
          <w:tcPr>
            <w:tcW w:w="7285" w:type="dxa"/>
          </w:tcPr>
          <w:p w:rsidR="009D451F" w:rsidRDefault="009D451F" w:rsidP="009D451F">
            <w:r w:rsidRPr="006D3917">
              <w:t>Dance choreography was developed to reflect the usage of cell phones, smartwatches, laptops, and headphones.</w:t>
            </w:r>
            <w:r>
              <w:t xml:space="preserve"> </w:t>
            </w:r>
            <w:r>
              <w:rPr>
                <w:highlight w:val="yellow"/>
              </w:rPr>
              <w:t>(15 words)</w:t>
            </w:r>
          </w:p>
        </w:tc>
      </w:tr>
      <w:tr w:rsidR="009D451F" w:rsidTr="0085257E">
        <w:tc>
          <w:tcPr>
            <w:tcW w:w="2065" w:type="dxa"/>
          </w:tcPr>
          <w:p w:rsidR="009D451F" w:rsidRPr="0085257E" w:rsidRDefault="009D451F" w:rsidP="009D451F">
            <w:pPr>
              <w:rPr>
                <w:b/>
              </w:rPr>
            </w:pPr>
            <w:r w:rsidRPr="0085257E">
              <w:rPr>
                <w:b/>
              </w:rPr>
              <w:t>Pull Quote:</w:t>
            </w:r>
          </w:p>
        </w:tc>
        <w:tc>
          <w:tcPr>
            <w:tcW w:w="7285" w:type="dxa"/>
          </w:tcPr>
          <w:p w:rsidR="009D451F" w:rsidRDefault="009D451F" w:rsidP="009D451F">
            <w:r w:rsidRPr="006D3917">
              <w:t>…the audience successfully identified movements that represented the interactions between individuals and technology.</w:t>
            </w:r>
            <w:r>
              <w:t xml:space="preserve"> </w:t>
            </w:r>
            <w:r>
              <w:rPr>
                <w:highlight w:val="yellow"/>
              </w:rPr>
              <w:t>(13 words)</w:t>
            </w:r>
          </w:p>
        </w:tc>
      </w:tr>
    </w:tbl>
    <w:p w:rsidR="00423539" w:rsidRDefault="00423539">
      <w:r>
        <w:br w:type="page"/>
      </w:r>
    </w:p>
    <w:p w:rsidR="006D3917" w:rsidRDefault="005750D2" w:rsidP="006D3917">
      <w:r>
        <w:lastRenderedPageBreak/>
        <w:t>Article Word Count: 1,918 words</w:t>
      </w:r>
    </w:p>
    <w:tbl>
      <w:tblPr>
        <w:tblStyle w:val="TableGrid"/>
        <w:tblW w:w="0" w:type="auto"/>
        <w:tblLook w:val="04A0" w:firstRow="1" w:lastRow="0" w:firstColumn="1" w:lastColumn="0" w:noHBand="0" w:noVBand="1"/>
      </w:tblPr>
      <w:tblGrid>
        <w:gridCol w:w="2245"/>
        <w:gridCol w:w="7105"/>
      </w:tblGrid>
      <w:tr w:rsidR="009D451F" w:rsidTr="003C1A99">
        <w:tc>
          <w:tcPr>
            <w:tcW w:w="2245" w:type="dxa"/>
          </w:tcPr>
          <w:p w:rsidR="009D451F" w:rsidRPr="0085257E" w:rsidRDefault="009D451F" w:rsidP="00934256">
            <w:pPr>
              <w:rPr>
                <w:b/>
              </w:rPr>
            </w:pPr>
            <w:r w:rsidRPr="0085257E">
              <w:rPr>
                <w:b/>
              </w:rPr>
              <w:t>Article Title:</w:t>
            </w:r>
          </w:p>
        </w:tc>
        <w:tc>
          <w:tcPr>
            <w:tcW w:w="7105" w:type="dxa"/>
          </w:tcPr>
          <w:p w:rsidR="009D451F" w:rsidRDefault="009D451F" w:rsidP="00934256">
            <w:r>
              <w:t xml:space="preserve">Predicting the 2020 Election: How Voter Turnout Rates Affect Election Outcomes </w:t>
            </w:r>
            <w:r>
              <w:rPr>
                <w:highlight w:val="yellow"/>
              </w:rPr>
              <w:t>(11 words)</w:t>
            </w:r>
          </w:p>
        </w:tc>
      </w:tr>
      <w:tr w:rsidR="009D451F" w:rsidTr="003C1A99">
        <w:tc>
          <w:tcPr>
            <w:tcW w:w="2245" w:type="dxa"/>
          </w:tcPr>
          <w:p w:rsidR="009D451F" w:rsidRPr="0085257E" w:rsidRDefault="009D451F" w:rsidP="00934256">
            <w:pPr>
              <w:rPr>
                <w:b/>
              </w:rPr>
            </w:pPr>
            <w:r w:rsidRPr="0085257E">
              <w:rPr>
                <w:b/>
              </w:rPr>
              <w:t>Author:</w:t>
            </w:r>
          </w:p>
        </w:tc>
        <w:tc>
          <w:tcPr>
            <w:tcW w:w="7105" w:type="dxa"/>
          </w:tcPr>
          <w:p w:rsidR="009D451F" w:rsidRDefault="009D451F" w:rsidP="00934256">
            <w:r>
              <w:t>By William L. Wallace ’21 and Luke A. Sullivan ‘21</w:t>
            </w:r>
          </w:p>
        </w:tc>
      </w:tr>
      <w:tr w:rsidR="009D451F" w:rsidTr="003C1A99">
        <w:tc>
          <w:tcPr>
            <w:tcW w:w="2245" w:type="dxa"/>
          </w:tcPr>
          <w:p w:rsidR="009D451F" w:rsidRPr="0085257E" w:rsidRDefault="009D451F" w:rsidP="00934256">
            <w:pPr>
              <w:rPr>
                <w:b/>
              </w:rPr>
            </w:pPr>
            <w:r w:rsidRPr="0085257E">
              <w:rPr>
                <w:b/>
              </w:rPr>
              <w:t>Article Teaser:</w:t>
            </w:r>
          </w:p>
        </w:tc>
        <w:tc>
          <w:tcPr>
            <w:tcW w:w="7105" w:type="dxa"/>
          </w:tcPr>
          <w:p w:rsidR="009D451F" w:rsidRPr="003C1A99" w:rsidRDefault="009D451F" w:rsidP="00934256">
            <w:pPr>
              <w:rPr>
                <w:highlight w:val="yellow"/>
              </w:rPr>
            </w:pPr>
            <w:r>
              <w:t xml:space="preserve">Statistically predicting how voter turnout affects statewide election outcomes in an era of uncertainty. </w:t>
            </w:r>
            <w:r>
              <w:rPr>
                <w:highlight w:val="yellow"/>
              </w:rPr>
              <w:t>(14 words)</w:t>
            </w:r>
          </w:p>
        </w:tc>
      </w:tr>
      <w:tr w:rsidR="009D451F" w:rsidTr="003C1A99">
        <w:tc>
          <w:tcPr>
            <w:tcW w:w="2245" w:type="dxa"/>
          </w:tcPr>
          <w:p w:rsidR="009D451F" w:rsidRPr="0085257E" w:rsidRDefault="009D451F" w:rsidP="00934256">
            <w:pPr>
              <w:rPr>
                <w:b/>
              </w:rPr>
            </w:pPr>
            <w:r w:rsidRPr="0085257E">
              <w:rPr>
                <w:b/>
              </w:rPr>
              <w:t>Author Biography:</w:t>
            </w:r>
          </w:p>
        </w:tc>
        <w:tc>
          <w:tcPr>
            <w:tcW w:w="7105" w:type="dxa"/>
          </w:tcPr>
          <w:p w:rsidR="009D451F" w:rsidRDefault="009D451F" w:rsidP="00934256">
            <w:r w:rsidRPr="00D452FC">
              <w:t>William Wallace '21 is an economics major with a concentration in financial econometrics from Austin, Texas. William has always been deeply interested in American politics and political power, which inspired him to write this paper. For the past year, William has worked at the Texas A&amp;M Public Policy Research Institute, and he plans to become a university professor. William is also pursuing a Master of Science degree in economics.</w:t>
            </w:r>
            <w:r>
              <w:t xml:space="preserve"> </w:t>
            </w:r>
            <w:r>
              <w:rPr>
                <w:highlight w:val="yellow"/>
              </w:rPr>
              <w:t>(69 words)</w:t>
            </w:r>
          </w:p>
        </w:tc>
      </w:tr>
      <w:tr w:rsidR="009D451F" w:rsidTr="003C1A99">
        <w:tc>
          <w:tcPr>
            <w:tcW w:w="2245" w:type="dxa"/>
          </w:tcPr>
          <w:p w:rsidR="009D451F" w:rsidRPr="0085257E" w:rsidRDefault="009D451F" w:rsidP="009D451F">
            <w:pPr>
              <w:rPr>
                <w:b/>
              </w:rPr>
            </w:pPr>
            <w:r w:rsidRPr="0085257E">
              <w:rPr>
                <w:b/>
              </w:rPr>
              <w:t>Author Biography:</w:t>
            </w:r>
          </w:p>
        </w:tc>
        <w:tc>
          <w:tcPr>
            <w:tcW w:w="7105" w:type="dxa"/>
          </w:tcPr>
          <w:p w:rsidR="009D451F" w:rsidRPr="003C1A99" w:rsidRDefault="009D451F" w:rsidP="009D451F">
            <w:pPr>
              <w:rPr>
                <w:highlight w:val="yellow"/>
              </w:rPr>
            </w:pPr>
            <w:r w:rsidRPr="00D452FC">
              <w:t>Luke Sullivan '21 is an economics major with a minor in business from Fair Oaks Ranch, Texas. Luke’s research began as a class assignment but was quickly expanded upon due to his interest in politics and the relevance of the election year. Luke was recently accepted to be a research assistant in the Texas A&amp;M Department of Economics and will be assisting master’s students with their thesis. Luke plans to attend law school upon completion of his undergraduate degree.</w:t>
            </w:r>
            <w:r>
              <w:t xml:space="preserve"> </w:t>
            </w:r>
            <w:r>
              <w:rPr>
                <w:highlight w:val="yellow"/>
              </w:rPr>
              <w:t>(79 words)</w:t>
            </w:r>
          </w:p>
        </w:tc>
      </w:tr>
      <w:tr w:rsidR="009D451F" w:rsidTr="003C1A99">
        <w:tc>
          <w:tcPr>
            <w:tcW w:w="2245" w:type="dxa"/>
          </w:tcPr>
          <w:p w:rsidR="009D451F" w:rsidRPr="0085257E" w:rsidRDefault="009D451F" w:rsidP="00934256">
            <w:pPr>
              <w:rPr>
                <w:b/>
              </w:rPr>
            </w:pPr>
            <w:r w:rsidRPr="0085257E">
              <w:rPr>
                <w:b/>
              </w:rPr>
              <w:t>Pull Quote:</w:t>
            </w:r>
          </w:p>
        </w:tc>
        <w:tc>
          <w:tcPr>
            <w:tcW w:w="7105" w:type="dxa"/>
          </w:tcPr>
          <w:p w:rsidR="009D451F" w:rsidRDefault="009D451F" w:rsidP="00934256">
            <w:r>
              <w:t xml:space="preserve">…Many statewide elections vary widely in their participation rates. </w:t>
            </w:r>
            <w:r>
              <w:rPr>
                <w:highlight w:val="yellow"/>
              </w:rPr>
              <w:t>(9 words)</w:t>
            </w:r>
          </w:p>
        </w:tc>
      </w:tr>
      <w:tr w:rsidR="009D451F" w:rsidTr="003C1A99">
        <w:tc>
          <w:tcPr>
            <w:tcW w:w="2245" w:type="dxa"/>
          </w:tcPr>
          <w:p w:rsidR="009D451F" w:rsidRPr="0085257E" w:rsidRDefault="009D451F" w:rsidP="009D451F">
            <w:pPr>
              <w:rPr>
                <w:b/>
              </w:rPr>
            </w:pPr>
            <w:r w:rsidRPr="0085257E">
              <w:rPr>
                <w:b/>
              </w:rPr>
              <w:t>Pull Quote:</w:t>
            </w:r>
          </w:p>
        </w:tc>
        <w:tc>
          <w:tcPr>
            <w:tcW w:w="7105" w:type="dxa"/>
          </w:tcPr>
          <w:p w:rsidR="009D451F" w:rsidRDefault="009D451F" w:rsidP="009D451F">
            <w:r>
              <w:t xml:space="preserve">Even with this narrow margin of victory, our model correctly predicted the outcome of the 2016 presidential election in Michigan. </w:t>
            </w:r>
            <w:r>
              <w:rPr>
                <w:highlight w:val="yellow"/>
              </w:rPr>
              <w:t>(20 words)</w:t>
            </w:r>
          </w:p>
        </w:tc>
      </w:tr>
      <w:tr w:rsidR="009D451F" w:rsidTr="003C1A99">
        <w:tc>
          <w:tcPr>
            <w:tcW w:w="2245" w:type="dxa"/>
          </w:tcPr>
          <w:p w:rsidR="009D451F" w:rsidRPr="0085257E" w:rsidRDefault="009D451F" w:rsidP="009D451F">
            <w:pPr>
              <w:rPr>
                <w:b/>
              </w:rPr>
            </w:pPr>
            <w:r w:rsidRPr="0085257E">
              <w:rPr>
                <w:b/>
              </w:rPr>
              <w:t>Pull Quote:</w:t>
            </w:r>
          </w:p>
        </w:tc>
        <w:tc>
          <w:tcPr>
            <w:tcW w:w="7105" w:type="dxa"/>
          </w:tcPr>
          <w:p w:rsidR="009D451F" w:rsidRDefault="009D451F" w:rsidP="009D451F">
            <w:r>
              <w:t xml:space="preserve">If the eligible voting population that votes increases by 1%, the likelihood of a democratic candidate winning the race increases by 2.13%. </w:t>
            </w:r>
            <w:r>
              <w:rPr>
                <w:highlight w:val="yellow"/>
              </w:rPr>
              <w:t>(22 words)</w:t>
            </w:r>
          </w:p>
        </w:tc>
      </w:tr>
    </w:tbl>
    <w:p w:rsidR="006D3917" w:rsidRDefault="006D3917" w:rsidP="006D3917"/>
    <w:p w:rsidR="00423539" w:rsidRDefault="00423539">
      <w:r>
        <w:br w:type="page"/>
      </w:r>
    </w:p>
    <w:p w:rsidR="009D451F" w:rsidRDefault="005750D2">
      <w:pPr>
        <w:rPr>
          <w:highlight w:val="yellow"/>
        </w:rPr>
      </w:pPr>
      <w:r>
        <w:lastRenderedPageBreak/>
        <w:t>Article Word Count: 2,062 words</w:t>
      </w:r>
    </w:p>
    <w:tbl>
      <w:tblPr>
        <w:tblStyle w:val="TableGrid"/>
        <w:tblW w:w="0" w:type="auto"/>
        <w:tblLook w:val="04A0" w:firstRow="1" w:lastRow="0" w:firstColumn="1" w:lastColumn="0" w:noHBand="0" w:noVBand="1"/>
      </w:tblPr>
      <w:tblGrid>
        <w:gridCol w:w="2335"/>
        <w:gridCol w:w="7015"/>
      </w:tblGrid>
      <w:tr w:rsidR="009D451F" w:rsidTr="003C1A99">
        <w:tc>
          <w:tcPr>
            <w:tcW w:w="2335" w:type="dxa"/>
          </w:tcPr>
          <w:p w:rsidR="009D451F" w:rsidRPr="0085257E" w:rsidRDefault="009D451F" w:rsidP="00934256">
            <w:pPr>
              <w:rPr>
                <w:b/>
              </w:rPr>
            </w:pPr>
            <w:r w:rsidRPr="0085257E">
              <w:rPr>
                <w:b/>
              </w:rPr>
              <w:t>Article Title:</w:t>
            </w:r>
          </w:p>
        </w:tc>
        <w:tc>
          <w:tcPr>
            <w:tcW w:w="7015" w:type="dxa"/>
          </w:tcPr>
          <w:p w:rsidR="009D451F" w:rsidRDefault="003C1A99" w:rsidP="00934256">
            <w:r>
              <w:t xml:space="preserve">Raman Spectroscopy: Protecting Animal and Human Health in One Dimension </w:t>
            </w:r>
            <w:r>
              <w:rPr>
                <w:highlight w:val="yellow"/>
              </w:rPr>
              <w:t>(10 words)</w:t>
            </w:r>
          </w:p>
        </w:tc>
      </w:tr>
      <w:tr w:rsidR="009D451F" w:rsidTr="003C1A99">
        <w:tc>
          <w:tcPr>
            <w:tcW w:w="2335" w:type="dxa"/>
          </w:tcPr>
          <w:p w:rsidR="009D451F" w:rsidRPr="0085257E" w:rsidRDefault="009D451F" w:rsidP="00934256">
            <w:pPr>
              <w:rPr>
                <w:b/>
              </w:rPr>
            </w:pPr>
            <w:r w:rsidRPr="0085257E">
              <w:rPr>
                <w:b/>
              </w:rPr>
              <w:t>Author:</w:t>
            </w:r>
          </w:p>
        </w:tc>
        <w:tc>
          <w:tcPr>
            <w:tcW w:w="7015" w:type="dxa"/>
          </w:tcPr>
          <w:p w:rsidR="009D451F" w:rsidRDefault="003C1A99" w:rsidP="00934256">
            <w:r>
              <w:t>By Daniel Andres Garza '20</w:t>
            </w:r>
          </w:p>
        </w:tc>
      </w:tr>
      <w:tr w:rsidR="009D451F" w:rsidTr="003C1A99">
        <w:tc>
          <w:tcPr>
            <w:tcW w:w="2335" w:type="dxa"/>
          </w:tcPr>
          <w:p w:rsidR="009D451F" w:rsidRPr="0085257E" w:rsidRDefault="009D451F" w:rsidP="00934256">
            <w:pPr>
              <w:rPr>
                <w:b/>
              </w:rPr>
            </w:pPr>
            <w:r w:rsidRPr="0085257E">
              <w:rPr>
                <w:b/>
              </w:rPr>
              <w:t>Article Teaser:</w:t>
            </w:r>
          </w:p>
        </w:tc>
        <w:tc>
          <w:tcPr>
            <w:tcW w:w="7015" w:type="dxa"/>
          </w:tcPr>
          <w:p w:rsidR="009D451F" w:rsidRPr="003C1A99" w:rsidRDefault="003C1A99" w:rsidP="00934256">
            <w:pPr>
              <w:rPr>
                <w:highlight w:val="yellow"/>
              </w:rPr>
            </w:pPr>
            <w:r>
              <w:t xml:space="preserve">Using Raman Spectroscopy to analyze animal feedstuffs and the development of a technique to classify and quantify the nutrient value in those feedstuffs. </w:t>
            </w:r>
            <w:r>
              <w:rPr>
                <w:highlight w:val="yellow"/>
              </w:rPr>
              <w:t>(23 words)</w:t>
            </w:r>
          </w:p>
        </w:tc>
      </w:tr>
      <w:tr w:rsidR="009D451F" w:rsidTr="003C1A99">
        <w:tc>
          <w:tcPr>
            <w:tcW w:w="2335" w:type="dxa"/>
          </w:tcPr>
          <w:p w:rsidR="009D451F" w:rsidRPr="0085257E" w:rsidRDefault="009D451F" w:rsidP="00934256">
            <w:pPr>
              <w:rPr>
                <w:b/>
              </w:rPr>
            </w:pPr>
            <w:r w:rsidRPr="0085257E">
              <w:rPr>
                <w:b/>
              </w:rPr>
              <w:t>Author Biography:</w:t>
            </w:r>
          </w:p>
        </w:tc>
        <w:tc>
          <w:tcPr>
            <w:tcW w:w="7015" w:type="dxa"/>
          </w:tcPr>
          <w:p w:rsidR="009D451F" w:rsidRPr="003C1A99" w:rsidRDefault="003C1A99" w:rsidP="00934256">
            <w:pPr>
              <w:rPr>
                <w:highlight w:val="yellow"/>
              </w:rPr>
            </w:pPr>
            <w:r w:rsidRPr="00D452FC">
              <w:t xml:space="preserve">Daniel Andres Garza '20 is a biomedical sciences major with a certificate in cultural competency and communication in Spanish from Roma, Texas. Daniel completed this research under the supervision of Dr. Timothy </w:t>
            </w:r>
            <w:proofErr w:type="spellStart"/>
            <w:r w:rsidRPr="00D452FC">
              <w:t>Herrman</w:t>
            </w:r>
            <w:proofErr w:type="spellEnd"/>
            <w:r w:rsidRPr="00D452FC">
              <w:t xml:space="preserve"> and Dr. Kyung-Min Lee. Daniel’s motivation for this research came from his interest in spectroscopic techniques, specifically in Raman spectroscopy in animal feed. Daniel’s goal is to earn his Doctor of Medicine degree and perform epidemiological research in the medical field.</w:t>
            </w:r>
            <w:r>
              <w:t xml:space="preserve"> </w:t>
            </w:r>
            <w:r>
              <w:rPr>
                <w:highlight w:val="yellow"/>
              </w:rPr>
              <w:t>(74 words)</w:t>
            </w:r>
          </w:p>
        </w:tc>
      </w:tr>
      <w:tr w:rsidR="009D451F" w:rsidTr="003C1A99">
        <w:tc>
          <w:tcPr>
            <w:tcW w:w="2335" w:type="dxa"/>
          </w:tcPr>
          <w:p w:rsidR="009D451F" w:rsidRPr="0085257E" w:rsidRDefault="009D451F" w:rsidP="00934256">
            <w:pPr>
              <w:rPr>
                <w:b/>
              </w:rPr>
            </w:pPr>
            <w:r w:rsidRPr="0085257E">
              <w:rPr>
                <w:b/>
              </w:rPr>
              <w:t>Pull Quote:</w:t>
            </w:r>
          </w:p>
        </w:tc>
        <w:tc>
          <w:tcPr>
            <w:tcW w:w="7015" w:type="dxa"/>
          </w:tcPr>
          <w:p w:rsidR="009D451F" w:rsidRDefault="003C1A99" w:rsidP="00934256">
            <w:r w:rsidRPr="006D3917">
              <w:t>A Raman effect is a shift in light frequency caused by the vibration of sample molecules being stimulated with a laser pulse from a Raman spectrometer.</w:t>
            </w:r>
            <w:r>
              <w:t xml:space="preserve"> </w:t>
            </w:r>
            <w:r>
              <w:rPr>
                <w:highlight w:val="yellow"/>
              </w:rPr>
              <w:t>(26 words)</w:t>
            </w:r>
          </w:p>
        </w:tc>
      </w:tr>
      <w:tr w:rsidR="009D451F" w:rsidTr="003C1A99">
        <w:tc>
          <w:tcPr>
            <w:tcW w:w="2335" w:type="dxa"/>
          </w:tcPr>
          <w:p w:rsidR="009D451F" w:rsidRPr="0085257E" w:rsidRDefault="009D451F" w:rsidP="00934256">
            <w:pPr>
              <w:rPr>
                <w:b/>
              </w:rPr>
            </w:pPr>
            <w:r w:rsidRPr="0085257E">
              <w:rPr>
                <w:b/>
              </w:rPr>
              <w:t>Pull Quote:</w:t>
            </w:r>
          </w:p>
        </w:tc>
        <w:tc>
          <w:tcPr>
            <w:tcW w:w="7015" w:type="dxa"/>
          </w:tcPr>
          <w:p w:rsidR="009D451F" w:rsidRDefault="003C1A99" w:rsidP="00934256">
            <w:r w:rsidRPr="006D3917">
              <w:t>The developed method is ultimately aimed at ensuring animals and humans are receiving adequate nutrition from their diets.</w:t>
            </w:r>
            <w:r>
              <w:t xml:space="preserve"> </w:t>
            </w:r>
            <w:r>
              <w:rPr>
                <w:highlight w:val="yellow"/>
              </w:rPr>
              <w:t>(18 words)</w:t>
            </w:r>
          </w:p>
        </w:tc>
      </w:tr>
    </w:tbl>
    <w:p w:rsidR="00423539" w:rsidRDefault="00423539">
      <w:r>
        <w:br w:type="page"/>
      </w:r>
    </w:p>
    <w:p w:rsidR="009D451F" w:rsidRDefault="005750D2" w:rsidP="006D3917">
      <w:pPr>
        <w:rPr>
          <w:highlight w:val="yellow"/>
        </w:rPr>
      </w:pPr>
      <w:r>
        <w:lastRenderedPageBreak/>
        <w:t>Article Word Count: 1,676 words</w:t>
      </w:r>
    </w:p>
    <w:tbl>
      <w:tblPr>
        <w:tblStyle w:val="TableGrid"/>
        <w:tblW w:w="0" w:type="auto"/>
        <w:tblLook w:val="04A0" w:firstRow="1" w:lastRow="0" w:firstColumn="1" w:lastColumn="0" w:noHBand="0" w:noVBand="1"/>
      </w:tblPr>
      <w:tblGrid>
        <w:gridCol w:w="2335"/>
        <w:gridCol w:w="7015"/>
      </w:tblGrid>
      <w:tr w:rsidR="009D451F" w:rsidTr="003C1A99">
        <w:tc>
          <w:tcPr>
            <w:tcW w:w="2335" w:type="dxa"/>
          </w:tcPr>
          <w:p w:rsidR="009D451F" w:rsidRPr="0085257E" w:rsidRDefault="009D451F" w:rsidP="00934256">
            <w:pPr>
              <w:rPr>
                <w:b/>
              </w:rPr>
            </w:pPr>
            <w:r w:rsidRPr="0085257E">
              <w:rPr>
                <w:b/>
              </w:rPr>
              <w:t>Article Title:</w:t>
            </w:r>
          </w:p>
        </w:tc>
        <w:tc>
          <w:tcPr>
            <w:tcW w:w="7015" w:type="dxa"/>
          </w:tcPr>
          <w:p w:rsidR="009D451F" w:rsidRDefault="003C1A99" w:rsidP="00934256">
            <w:r>
              <w:t xml:space="preserve">Integrating the Human Dimension in Infrastructure Resilience: A Case Study of Service Disruptions Caused by Hurricane Harvey </w:t>
            </w:r>
            <w:r>
              <w:rPr>
                <w:highlight w:val="yellow"/>
              </w:rPr>
              <w:t>(17 words)</w:t>
            </w:r>
          </w:p>
        </w:tc>
      </w:tr>
      <w:tr w:rsidR="009D451F" w:rsidTr="003C1A99">
        <w:tc>
          <w:tcPr>
            <w:tcW w:w="2335" w:type="dxa"/>
          </w:tcPr>
          <w:p w:rsidR="009D451F" w:rsidRPr="0085257E" w:rsidRDefault="009D451F" w:rsidP="00934256">
            <w:pPr>
              <w:rPr>
                <w:b/>
              </w:rPr>
            </w:pPr>
            <w:r w:rsidRPr="0085257E">
              <w:rPr>
                <w:b/>
              </w:rPr>
              <w:t>Author:</w:t>
            </w:r>
          </w:p>
        </w:tc>
        <w:tc>
          <w:tcPr>
            <w:tcW w:w="7015" w:type="dxa"/>
          </w:tcPr>
          <w:p w:rsidR="009D451F" w:rsidRDefault="003C1A99" w:rsidP="00934256">
            <w:r>
              <w:t>By Natalie Coleman ’20 and Miguel Esparza ‘20</w:t>
            </w:r>
          </w:p>
        </w:tc>
      </w:tr>
      <w:tr w:rsidR="009D451F" w:rsidTr="003C1A99">
        <w:tc>
          <w:tcPr>
            <w:tcW w:w="2335" w:type="dxa"/>
          </w:tcPr>
          <w:p w:rsidR="009D451F" w:rsidRPr="0085257E" w:rsidRDefault="009D451F" w:rsidP="00934256">
            <w:pPr>
              <w:rPr>
                <w:b/>
              </w:rPr>
            </w:pPr>
            <w:r w:rsidRPr="0085257E">
              <w:rPr>
                <w:b/>
              </w:rPr>
              <w:t>Article Teaser:</w:t>
            </w:r>
          </w:p>
        </w:tc>
        <w:tc>
          <w:tcPr>
            <w:tcW w:w="7015" w:type="dxa"/>
          </w:tcPr>
          <w:p w:rsidR="009D451F" w:rsidRPr="0085257E" w:rsidRDefault="003C1A99" w:rsidP="00934256">
            <w:pPr>
              <w:rPr>
                <w:highlight w:val="yellow"/>
              </w:rPr>
            </w:pPr>
            <w:r>
              <w:t xml:space="preserve">The impact of natural disaster and hazards are progressively becoming more damaging to the infrastructure of communities, resulting in the need to allocate resources to hotspots. </w:t>
            </w:r>
            <w:r>
              <w:rPr>
                <w:highlight w:val="yellow"/>
              </w:rPr>
              <w:t>(26 words)</w:t>
            </w:r>
          </w:p>
        </w:tc>
      </w:tr>
      <w:tr w:rsidR="009D451F" w:rsidTr="003C1A99">
        <w:tc>
          <w:tcPr>
            <w:tcW w:w="2335" w:type="dxa"/>
          </w:tcPr>
          <w:p w:rsidR="009D451F" w:rsidRPr="0085257E" w:rsidRDefault="009D451F" w:rsidP="00934256">
            <w:pPr>
              <w:rPr>
                <w:b/>
              </w:rPr>
            </w:pPr>
            <w:r w:rsidRPr="0085257E">
              <w:rPr>
                <w:b/>
              </w:rPr>
              <w:t>Author Biography:</w:t>
            </w:r>
          </w:p>
        </w:tc>
        <w:tc>
          <w:tcPr>
            <w:tcW w:w="7015" w:type="dxa"/>
          </w:tcPr>
          <w:p w:rsidR="009D451F" w:rsidRDefault="003C1A99" w:rsidP="00934256">
            <w:r w:rsidRPr="00D452FC">
              <w:t>Natalie Coleman ’20 is a civil engineering honors student with a minor in Hispanic studies and a certificate in international engineering. Since the spring of 2018, Natalie has been an undergraduate researcher in the Urban Resilience Lab where she has investigated the social impacts of infrastructure service disruptions caused by natural hazards. She has also participated in the Undergraduate Research Scholars program and served as an Undergraduate Research Ambassador. Natalie will be attending the civil engineering Ph.D. program at Texas A&amp;M University.</w:t>
            </w:r>
            <w:r>
              <w:t xml:space="preserve"> </w:t>
            </w:r>
            <w:r>
              <w:rPr>
                <w:highlight w:val="yellow"/>
              </w:rPr>
              <w:t>(82 words)</w:t>
            </w:r>
          </w:p>
        </w:tc>
      </w:tr>
      <w:tr w:rsidR="003C1A99" w:rsidTr="003C1A99">
        <w:tc>
          <w:tcPr>
            <w:tcW w:w="2335" w:type="dxa"/>
          </w:tcPr>
          <w:p w:rsidR="003C1A99" w:rsidRPr="0085257E" w:rsidRDefault="003C1A99" w:rsidP="003C1A99">
            <w:pPr>
              <w:rPr>
                <w:b/>
              </w:rPr>
            </w:pPr>
            <w:r w:rsidRPr="0085257E">
              <w:rPr>
                <w:b/>
              </w:rPr>
              <w:t>Author Biography:</w:t>
            </w:r>
          </w:p>
        </w:tc>
        <w:tc>
          <w:tcPr>
            <w:tcW w:w="7015" w:type="dxa"/>
          </w:tcPr>
          <w:p w:rsidR="003C1A99" w:rsidRDefault="003C1A99" w:rsidP="003C1A99">
            <w:r w:rsidRPr="00D452FC">
              <w:t xml:space="preserve">Miguel Esparza '20 is a civil engineering major with a focus in structural engineering and a minor in Hispanic studies for community engagement from Cypress, Texas. Miguel was inspired to join the Urban Resilience Lab directed by Dr. Ali </w:t>
            </w:r>
            <w:proofErr w:type="spellStart"/>
            <w:r w:rsidRPr="00D452FC">
              <w:t>Mostafavi</w:t>
            </w:r>
            <w:proofErr w:type="spellEnd"/>
            <w:r w:rsidRPr="00D452FC">
              <w:t xml:space="preserve"> after participating in a program that highlighted the social disparities of a natural disaster. He plans to continue studying structural engineering and conducting research with the Urban Resilience Lab as a master’s student at Texas A&amp;M.</w:t>
            </w:r>
            <w:r>
              <w:t xml:space="preserve"> </w:t>
            </w:r>
            <w:r>
              <w:rPr>
                <w:highlight w:val="yellow"/>
              </w:rPr>
              <w:t>(76 words)</w:t>
            </w:r>
          </w:p>
        </w:tc>
      </w:tr>
      <w:tr w:rsidR="009D451F" w:rsidTr="003C1A99">
        <w:tc>
          <w:tcPr>
            <w:tcW w:w="2335" w:type="dxa"/>
          </w:tcPr>
          <w:p w:rsidR="009D451F" w:rsidRPr="0085257E" w:rsidRDefault="009D451F" w:rsidP="00934256">
            <w:pPr>
              <w:rPr>
                <w:b/>
              </w:rPr>
            </w:pPr>
            <w:r w:rsidRPr="0085257E">
              <w:rPr>
                <w:b/>
              </w:rPr>
              <w:t>Pull Quote:</w:t>
            </w:r>
          </w:p>
        </w:tc>
        <w:tc>
          <w:tcPr>
            <w:tcW w:w="7015" w:type="dxa"/>
          </w:tcPr>
          <w:p w:rsidR="009D451F" w:rsidRDefault="003C1A99" w:rsidP="00934256">
            <w:r>
              <w:t xml:space="preserve">...The analysis has the potential to effectively prioritize service recovery in the immediate aftermath of a disaster... </w:t>
            </w:r>
            <w:r>
              <w:rPr>
                <w:highlight w:val="yellow"/>
              </w:rPr>
              <w:t>(17 words)</w:t>
            </w:r>
          </w:p>
        </w:tc>
      </w:tr>
      <w:tr w:rsidR="009D451F" w:rsidTr="003C1A99">
        <w:tc>
          <w:tcPr>
            <w:tcW w:w="2335" w:type="dxa"/>
          </w:tcPr>
          <w:p w:rsidR="009D451F" w:rsidRPr="0085257E" w:rsidRDefault="009D451F" w:rsidP="00934256">
            <w:pPr>
              <w:rPr>
                <w:b/>
              </w:rPr>
            </w:pPr>
            <w:r w:rsidRPr="0085257E">
              <w:rPr>
                <w:b/>
              </w:rPr>
              <w:t>Pull Quote:</w:t>
            </w:r>
          </w:p>
        </w:tc>
        <w:tc>
          <w:tcPr>
            <w:tcW w:w="7015" w:type="dxa"/>
          </w:tcPr>
          <w:p w:rsidR="009D451F" w:rsidRDefault="003C1A99" w:rsidP="00934256">
            <w:r w:rsidRPr="006D3917">
              <w:t>…socially vulnerable groups were...located in regions of higher hardship.</w:t>
            </w:r>
            <w:r>
              <w:t xml:space="preserve"> </w:t>
            </w:r>
            <w:r>
              <w:rPr>
                <w:highlight w:val="yellow"/>
              </w:rPr>
              <w:t>(9 words)</w:t>
            </w:r>
          </w:p>
        </w:tc>
      </w:tr>
    </w:tbl>
    <w:p w:rsidR="00423539" w:rsidRDefault="00423539" w:rsidP="006D3917">
      <w:r>
        <w:br w:type="page"/>
      </w:r>
    </w:p>
    <w:p w:rsidR="006D3917" w:rsidRDefault="005750D2">
      <w:pPr>
        <w:rPr>
          <w:highlight w:val="yellow"/>
        </w:rPr>
      </w:pPr>
      <w:r>
        <w:lastRenderedPageBreak/>
        <w:t>Article Word Count: 2,068 words</w:t>
      </w:r>
    </w:p>
    <w:tbl>
      <w:tblPr>
        <w:tblStyle w:val="TableGrid"/>
        <w:tblW w:w="0" w:type="auto"/>
        <w:tblLook w:val="04A0" w:firstRow="1" w:lastRow="0" w:firstColumn="1" w:lastColumn="0" w:noHBand="0" w:noVBand="1"/>
      </w:tblPr>
      <w:tblGrid>
        <w:gridCol w:w="2065"/>
        <w:gridCol w:w="7285"/>
      </w:tblGrid>
      <w:tr w:rsidR="009D451F" w:rsidTr="0085257E">
        <w:tc>
          <w:tcPr>
            <w:tcW w:w="2065" w:type="dxa"/>
          </w:tcPr>
          <w:p w:rsidR="009D451F" w:rsidRPr="0085257E" w:rsidRDefault="009D451F" w:rsidP="00934256">
            <w:pPr>
              <w:rPr>
                <w:b/>
              </w:rPr>
            </w:pPr>
            <w:r w:rsidRPr="0085257E">
              <w:rPr>
                <w:b/>
              </w:rPr>
              <w:t>Article Title:</w:t>
            </w:r>
          </w:p>
        </w:tc>
        <w:tc>
          <w:tcPr>
            <w:tcW w:w="7285" w:type="dxa"/>
          </w:tcPr>
          <w:p w:rsidR="009D451F" w:rsidRDefault="003C1A99" w:rsidP="00934256">
            <w:r>
              <w:t xml:space="preserve">Stay in Your Time Lane: How Thinking During A State of Boredom Tends to Stay in Either the Past, Present, or Future </w:t>
            </w:r>
            <w:r>
              <w:rPr>
                <w:highlight w:val="yellow"/>
              </w:rPr>
              <w:t>(22 words)</w:t>
            </w:r>
          </w:p>
        </w:tc>
      </w:tr>
      <w:tr w:rsidR="009D451F" w:rsidTr="0085257E">
        <w:tc>
          <w:tcPr>
            <w:tcW w:w="2065" w:type="dxa"/>
          </w:tcPr>
          <w:p w:rsidR="009D451F" w:rsidRPr="0085257E" w:rsidRDefault="009D451F" w:rsidP="00934256">
            <w:pPr>
              <w:rPr>
                <w:b/>
              </w:rPr>
            </w:pPr>
            <w:r w:rsidRPr="0085257E">
              <w:rPr>
                <w:b/>
              </w:rPr>
              <w:t>Author:</w:t>
            </w:r>
          </w:p>
        </w:tc>
        <w:tc>
          <w:tcPr>
            <w:tcW w:w="7285" w:type="dxa"/>
          </w:tcPr>
          <w:p w:rsidR="009D451F" w:rsidRDefault="003C1A99" w:rsidP="00934256">
            <w:r>
              <w:t>By Kristen Akin ‘20</w:t>
            </w:r>
          </w:p>
        </w:tc>
      </w:tr>
      <w:tr w:rsidR="009D451F" w:rsidTr="0085257E">
        <w:tc>
          <w:tcPr>
            <w:tcW w:w="2065" w:type="dxa"/>
          </w:tcPr>
          <w:p w:rsidR="009D451F" w:rsidRPr="0085257E" w:rsidRDefault="009D451F" w:rsidP="00934256">
            <w:pPr>
              <w:rPr>
                <w:b/>
              </w:rPr>
            </w:pPr>
            <w:r w:rsidRPr="0085257E">
              <w:rPr>
                <w:b/>
              </w:rPr>
              <w:t>Article Teaser:</w:t>
            </w:r>
          </w:p>
        </w:tc>
        <w:tc>
          <w:tcPr>
            <w:tcW w:w="7285" w:type="dxa"/>
          </w:tcPr>
          <w:p w:rsidR="009D451F" w:rsidRPr="0085257E" w:rsidRDefault="003C1A99" w:rsidP="00934256">
            <w:pPr>
              <w:rPr>
                <w:highlight w:val="yellow"/>
              </w:rPr>
            </w:pPr>
            <w:r>
              <w:t xml:space="preserve">People who are bored normally think about the present, past, or the future but not all three. </w:t>
            </w:r>
            <w:r>
              <w:rPr>
                <w:highlight w:val="yellow"/>
              </w:rPr>
              <w:t>(17 words)</w:t>
            </w:r>
          </w:p>
        </w:tc>
      </w:tr>
      <w:tr w:rsidR="009D451F" w:rsidTr="0085257E">
        <w:tc>
          <w:tcPr>
            <w:tcW w:w="2065" w:type="dxa"/>
          </w:tcPr>
          <w:p w:rsidR="009D451F" w:rsidRPr="0085257E" w:rsidRDefault="009D451F" w:rsidP="00934256">
            <w:pPr>
              <w:rPr>
                <w:b/>
              </w:rPr>
            </w:pPr>
            <w:r w:rsidRPr="0085257E">
              <w:rPr>
                <w:b/>
              </w:rPr>
              <w:t>Author Biography:</w:t>
            </w:r>
          </w:p>
        </w:tc>
        <w:tc>
          <w:tcPr>
            <w:tcW w:w="7285" w:type="dxa"/>
          </w:tcPr>
          <w:p w:rsidR="009D451F" w:rsidRDefault="003C1A99" w:rsidP="00934256">
            <w:r w:rsidRPr="00D452FC">
              <w:t>Kristen Akin ‘20 is a psychology major with a minor in chemistry from College Station, Texas who went to A&amp;M Consolidated High School. Kristen’s inspiration for this project came from her interest in how inmates put in solitary confinement cope with the accompanying boredom. Kristen is pursuing her master’s degree in forensic psychology in the fall of 2020 and plans to pursue a Ph.D. in the future.</w:t>
            </w:r>
            <w:r>
              <w:t xml:space="preserve"> </w:t>
            </w:r>
            <w:r>
              <w:rPr>
                <w:highlight w:val="yellow"/>
              </w:rPr>
              <w:t>(67 words)</w:t>
            </w:r>
          </w:p>
        </w:tc>
      </w:tr>
      <w:tr w:rsidR="009D451F" w:rsidTr="0085257E">
        <w:tc>
          <w:tcPr>
            <w:tcW w:w="2065" w:type="dxa"/>
          </w:tcPr>
          <w:p w:rsidR="009D451F" w:rsidRPr="0085257E" w:rsidRDefault="009D451F" w:rsidP="00934256">
            <w:pPr>
              <w:rPr>
                <w:b/>
              </w:rPr>
            </w:pPr>
            <w:r w:rsidRPr="0085257E">
              <w:rPr>
                <w:b/>
              </w:rPr>
              <w:t>Pull Quote:</w:t>
            </w:r>
          </w:p>
        </w:tc>
        <w:tc>
          <w:tcPr>
            <w:tcW w:w="7285" w:type="dxa"/>
          </w:tcPr>
          <w:p w:rsidR="009D451F" w:rsidRDefault="003C1A99" w:rsidP="00934256">
            <w:r w:rsidRPr="006D3917">
              <w:t>Understanding how thoughts relate to boredom could be instrumental in helping people cope with disorders like depression, substance use, or smoking.</w:t>
            </w:r>
            <w:r>
              <w:t xml:space="preserve"> </w:t>
            </w:r>
            <w:r>
              <w:rPr>
                <w:highlight w:val="yellow"/>
              </w:rPr>
              <w:t>(21 words)</w:t>
            </w:r>
          </w:p>
        </w:tc>
      </w:tr>
      <w:tr w:rsidR="009D451F" w:rsidTr="0085257E">
        <w:tc>
          <w:tcPr>
            <w:tcW w:w="2065" w:type="dxa"/>
          </w:tcPr>
          <w:p w:rsidR="009D451F" w:rsidRPr="0085257E" w:rsidRDefault="009D451F" w:rsidP="00934256">
            <w:pPr>
              <w:rPr>
                <w:b/>
              </w:rPr>
            </w:pPr>
            <w:r w:rsidRPr="0085257E">
              <w:rPr>
                <w:b/>
              </w:rPr>
              <w:t>Pull Quote:</w:t>
            </w:r>
          </w:p>
        </w:tc>
        <w:tc>
          <w:tcPr>
            <w:tcW w:w="7285" w:type="dxa"/>
          </w:tcPr>
          <w:p w:rsidR="009D451F" w:rsidRDefault="003C1A99" w:rsidP="00934256">
            <w:r w:rsidRPr="006D3917">
              <w:t>Preliminary results showed that participants rated boredom…and calmness…as the most strongly felt emotions after the twenty minutes.</w:t>
            </w:r>
            <w:r>
              <w:t xml:space="preserve"> </w:t>
            </w:r>
            <w:r>
              <w:rPr>
                <w:highlight w:val="yellow"/>
              </w:rPr>
              <w:t>(17 words)</w:t>
            </w:r>
          </w:p>
        </w:tc>
      </w:tr>
      <w:tr w:rsidR="009D451F" w:rsidTr="0085257E">
        <w:tc>
          <w:tcPr>
            <w:tcW w:w="2065" w:type="dxa"/>
          </w:tcPr>
          <w:p w:rsidR="009D451F" w:rsidRPr="0085257E" w:rsidRDefault="009D451F" w:rsidP="00934256">
            <w:pPr>
              <w:rPr>
                <w:b/>
              </w:rPr>
            </w:pPr>
            <w:r w:rsidRPr="0085257E">
              <w:rPr>
                <w:b/>
              </w:rPr>
              <w:t>Pull Quote:</w:t>
            </w:r>
          </w:p>
        </w:tc>
        <w:tc>
          <w:tcPr>
            <w:tcW w:w="7285" w:type="dxa"/>
          </w:tcPr>
          <w:p w:rsidR="009D451F" w:rsidRDefault="003C1A99" w:rsidP="00934256">
            <w:r w:rsidRPr="006D3917">
              <w:t>Based on our finding, we found that participants tended to think about the present while they were in a bored state.</w:t>
            </w:r>
            <w:r>
              <w:t xml:space="preserve"> </w:t>
            </w:r>
            <w:r>
              <w:rPr>
                <w:highlight w:val="yellow"/>
              </w:rPr>
              <w:t>(21 words)</w:t>
            </w:r>
          </w:p>
        </w:tc>
      </w:tr>
    </w:tbl>
    <w:p w:rsidR="009D451F" w:rsidRDefault="009D451F">
      <w:pPr>
        <w:rPr>
          <w:highlight w:val="yellow"/>
        </w:rPr>
      </w:pPr>
    </w:p>
    <w:p w:rsidR="00D452FC" w:rsidRDefault="00D452FC">
      <w:r>
        <w:br w:type="page"/>
      </w:r>
    </w:p>
    <w:p w:rsidR="00934256" w:rsidRDefault="00881AEC">
      <w:pPr>
        <w:rPr>
          <w:i/>
          <w:iCs/>
        </w:rPr>
      </w:pPr>
      <w:r w:rsidRPr="00881AEC">
        <w:rPr>
          <w:i/>
          <w:iCs/>
        </w:rPr>
        <w:lastRenderedPageBreak/>
        <w:t xml:space="preserve"> </w:t>
      </w:r>
      <w:r w:rsidR="005750D2">
        <w:t>Article Word Count: 2,484 words</w:t>
      </w:r>
    </w:p>
    <w:tbl>
      <w:tblPr>
        <w:tblStyle w:val="TableGrid"/>
        <w:tblW w:w="0" w:type="auto"/>
        <w:tblLook w:val="04A0" w:firstRow="1" w:lastRow="0" w:firstColumn="1" w:lastColumn="0" w:noHBand="0" w:noVBand="1"/>
      </w:tblPr>
      <w:tblGrid>
        <w:gridCol w:w="2065"/>
        <w:gridCol w:w="7285"/>
      </w:tblGrid>
      <w:tr w:rsidR="00934256" w:rsidTr="0085257E">
        <w:tc>
          <w:tcPr>
            <w:tcW w:w="2065" w:type="dxa"/>
          </w:tcPr>
          <w:p w:rsidR="00934256" w:rsidRPr="0085257E" w:rsidRDefault="00934256" w:rsidP="00934256">
            <w:pPr>
              <w:rPr>
                <w:b/>
              </w:rPr>
            </w:pPr>
            <w:r w:rsidRPr="0085257E">
              <w:rPr>
                <w:b/>
              </w:rPr>
              <w:t>Article Title:</w:t>
            </w:r>
          </w:p>
        </w:tc>
        <w:tc>
          <w:tcPr>
            <w:tcW w:w="7285" w:type="dxa"/>
          </w:tcPr>
          <w:p w:rsidR="00934256" w:rsidRDefault="00934256" w:rsidP="00934256">
            <w:r>
              <w:t xml:space="preserve">What Do You Meme: A Look at Historical and Literary Imitative Humor </w:t>
            </w:r>
            <w:r>
              <w:rPr>
                <w:highlight w:val="yellow"/>
              </w:rPr>
              <w:t>(12 words)</w:t>
            </w:r>
          </w:p>
        </w:tc>
      </w:tr>
      <w:tr w:rsidR="00934256" w:rsidTr="0085257E">
        <w:tc>
          <w:tcPr>
            <w:tcW w:w="2065" w:type="dxa"/>
          </w:tcPr>
          <w:p w:rsidR="00934256" w:rsidRPr="0085257E" w:rsidRDefault="00934256" w:rsidP="00934256">
            <w:pPr>
              <w:rPr>
                <w:b/>
              </w:rPr>
            </w:pPr>
            <w:r w:rsidRPr="0085257E">
              <w:rPr>
                <w:b/>
              </w:rPr>
              <w:t>Author:</w:t>
            </w:r>
          </w:p>
        </w:tc>
        <w:tc>
          <w:tcPr>
            <w:tcW w:w="7285" w:type="dxa"/>
          </w:tcPr>
          <w:p w:rsidR="00934256" w:rsidRDefault="00934256" w:rsidP="00934256">
            <w:r>
              <w:t>By Amy Harbourne ‘20</w:t>
            </w:r>
          </w:p>
        </w:tc>
      </w:tr>
      <w:tr w:rsidR="00934256" w:rsidTr="0085257E">
        <w:tc>
          <w:tcPr>
            <w:tcW w:w="2065" w:type="dxa"/>
          </w:tcPr>
          <w:p w:rsidR="00934256" w:rsidRPr="0085257E" w:rsidRDefault="00934256" w:rsidP="00934256">
            <w:pPr>
              <w:rPr>
                <w:b/>
              </w:rPr>
            </w:pPr>
            <w:r w:rsidRPr="0085257E">
              <w:rPr>
                <w:b/>
              </w:rPr>
              <w:t>Article Teaser:</w:t>
            </w:r>
          </w:p>
        </w:tc>
        <w:tc>
          <w:tcPr>
            <w:tcW w:w="7285" w:type="dxa"/>
          </w:tcPr>
          <w:p w:rsidR="00934256" w:rsidRPr="0085257E" w:rsidRDefault="00934256" w:rsidP="00934256">
            <w:pPr>
              <w:rPr>
                <w:highlight w:val="yellow"/>
              </w:rPr>
            </w:pPr>
            <w:r>
              <w:t xml:space="preserve">An analysis of the recurrent themes </w:t>
            </w:r>
            <w:proofErr w:type="gramStart"/>
            <w:r>
              <w:t>present</w:t>
            </w:r>
            <w:proofErr w:type="gramEnd"/>
            <w:r>
              <w:t xml:space="preserve"> in imitative humor across different temporal, and cultural, eras. </w:t>
            </w:r>
            <w:r>
              <w:rPr>
                <w:highlight w:val="yellow"/>
              </w:rPr>
              <w:t>(16 words)</w:t>
            </w:r>
          </w:p>
        </w:tc>
      </w:tr>
      <w:tr w:rsidR="00934256" w:rsidTr="0085257E">
        <w:tc>
          <w:tcPr>
            <w:tcW w:w="2065" w:type="dxa"/>
          </w:tcPr>
          <w:p w:rsidR="00934256" w:rsidRPr="0085257E" w:rsidRDefault="00934256" w:rsidP="00934256">
            <w:pPr>
              <w:rPr>
                <w:b/>
              </w:rPr>
            </w:pPr>
            <w:r w:rsidRPr="0085257E">
              <w:rPr>
                <w:b/>
              </w:rPr>
              <w:t>Author Biography:</w:t>
            </w:r>
          </w:p>
        </w:tc>
        <w:tc>
          <w:tcPr>
            <w:tcW w:w="7285" w:type="dxa"/>
          </w:tcPr>
          <w:p w:rsidR="00934256" w:rsidRPr="0085257E" w:rsidRDefault="00934256" w:rsidP="00934256">
            <w:pPr>
              <w:rPr>
                <w:highlight w:val="yellow"/>
              </w:rPr>
            </w:pPr>
            <w:r w:rsidRPr="00D452FC">
              <w:t>Amy Harbourne ‘20 is an English major from Brownsville, Texas. The motivation behind her research was to investigate the connection to past societies via parallel cultural nuances. She plans to continue her education in rhetorical discourse and teach others about the deep connection between rhetoric and everyday life.</w:t>
            </w:r>
            <w:r>
              <w:t xml:space="preserve"> </w:t>
            </w:r>
            <w:r>
              <w:rPr>
                <w:highlight w:val="yellow"/>
              </w:rPr>
              <w:t>(48 words)</w:t>
            </w:r>
          </w:p>
        </w:tc>
      </w:tr>
      <w:tr w:rsidR="00934256" w:rsidTr="0085257E">
        <w:tc>
          <w:tcPr>
            <w:tcW w:w="2065" w:type="dxa"/>
          </w:tcPr>
          <w:p w:rsidR="00934256" w:rsidRPr="0085257E" w:rsidRDefault="00934256" w:rsidP="00934256">
            <w:pPr>
              <w:rPr>
                <w:b/>
              </w:rPr>
            </w:pPr>
            <w:r w:rsidRPr="0085257E">
              <w:rPr>
                <w:b/>
              </w:rPr>
              <w:t>Pull Quote:</w:t>
            </w:r>
          </w:p>
        </w:tc>
        <w:tc>
          <w:tcPr>
            <w:tcW w:w="7285" w:type="dxa"/>
          </w:tcPr>
          <w:p w:rsidR="00934256" w:rsidRDefault="00934256" w:rsidP="00934256">
            <w:r w:rsidRPr="006D3917">
              <w:t>Precursors to the contemporary meme can be found in earlier forms of imitative humor.</w:t>
            </w:r>
            <w:r>
              <w:t xml:space="preserve"> </w:t>
            </w:r>
            <w:r>
              <w:rPr>
                <w:highlight w:val="yellow"/>
              </w:rPr>
              <w:t>(14 words)</w:t>
            </w:r>
          </w:p>
        </w:tc>
      </w:tr>
      <w:tr w:rsidR="00934256" w:rsidTr="0085257E">
        <w:tc>
          <w:tcPr>
            <w:tcW w:w="2065" w:type="dxa"/>
          </w:tcPr>
          <w:p w:rsidR="00934256" w:rsidRPr="0085257E" w:rsidRDefault="00934256" w:rsidP="00934256">
            <w:pPr>
              <w:rPr>
                <w:b/>
              </w:rPr>
            </w:pPr>
            <w:r w:rsidRPr="0085257E">
              <w:rPr>
                <w:b/>
              </w:rPr>
              <w:t>Pull Quote:</w:t>
            </w:r>
          </w:p>
        </w:tc>
        <w:tc>
          <w:tcPr>
            <w:tcW w:w="7285" w:type="dxa"/>
          </w:tcPr>
          <w:p w:rsidR="00934256" w:rsidRDefault="00934256" w:rsidP="00934256">
            <w:r w:rsidRPr="006D3917">
              <w:t>Just as a meme can go “viral”, so could a line from a play that someone heard in the globe in 1599.</w:t>
            </w:r>
            <w:r>
              <w:t xml:space="preserve"> </w:t>
            </w:r>
            <w:r>
              <w:rPr>
                <w:highlight w:val="yellow"/>
              </w:rPr>
              <w:t>(22 words)</w:t>
            </w:r>
          </w:p>
        </w:tc>
      </w:tr>
      <w:tr w:rsidR="00934256" w:rsidTr="0085257E">
        <w:tc>
          <w:tcPr>
            <w:tcW w:w="2065" w:type="dxa"/>
          </w:tcPr>
          <w:p w:rsidR="00934256" w:rsidRPr="0085257E" w:rsidRDefault="00934256" w:rsidP="00934256">
            <w:pPr>
              <w:rPr>
                <w:b/>
              </w:rPr>
            </w:pPr>
            <w:r w:rsidRPr="0085257E">
              <w:rPr>
                <w:b/>
              </w:rPr>
              <w:t>Pull Quote:</w:t>
            </w:r>
          </w:p>
        </w:tc>
        <w:tc>
          <w:tcPr>
            <w:tcW w:w="7285" w:type="dxa"/>
          </w:tcPr>
          <w:p w:rsidR="00934256" w:rsidRDefault="00934256" w:rsidP="00934256">
            <w:r w:rsidRPr="006D3917">
              <w:t>Material repeatability conceptualizes the idea that we as humans are not only predictable in our actions, but our likes, dislikes, and humor.</w:t>
            </w:r>
            <w:r>
              <w:t xml:space="preserve"> </w:t>
            </w:r>
            <w:r>
              <w:rPr>
                <w:highlight w:val="yellow"/>
              </w:rPr>
              <w:t>(22 words)</w:t>
            </w:r>
          </w:p>
        </w:tc>
      </w:tr>
      <w:tr w:rsidR="00934256" w:rsidTr="0085257E">
        <w:tc>
          <w:tcPr>
            <w:tcW w:w="2065" w:type="dxa"/>
          </w:tcPr>
          <w:p w:rsidR="00934256" w:rsidRPr="0085257E" w:rsidRDefault="00934256" w:rsidP="00934256">
            <w:pPr>
              <w:rPr>
                <w:b/>
              </w:rPr>
            </w:pPr>
            <w:r w:rsidRPr="0085257E">
              <w:rPr>
                <w:b/>
              </w:rPr>
              <w:t>Example:</w:t>
            </w:r>
          </w:p>
        </w:tc>
        <w:tc>
          <w:tcPr>
            <w:tcW w:w="7285" w:type="dxa"/>
          </w:tcPr>
          <w:p w:rsidR="00934256" w:rsidRDefault="00934256" w:rsidP="00934256">
            <w:r>
              <w:t>[</w:t>
            </w:r>
            <w:proofErr w:type="spellStart"/>
            <w:r>
              <w:t>img</w:t>
            </w:r>
            <w:proofErr w:type="spellEnd"/>
            <w:r>
              <w:t>]</w:t>
            </w:r>
          </w:p>
          <w:p w:rsidR="00934256" w:rsidRDefault="00934256" w:rsidP="00934256">
            <w:r w:rsidRPr="00881AEC">
              <w:rPr>
                <w:b/>
                <w:bCs/>
                <w:i/>
                <w:iCs/>
              </w:rPr>
              <w:t xml:space="preserve">Figure 2. </w:t>
            </w:r>
            <w:r w:rsidRPr="00881AEC">
              <w:rPr>
                <w:i/>
                <w:iCs/>
              </w:rPr>
              <w:t xml:space="preserve">Quote </w:t>
            </w:r>
            <w:proofErr w:type="gramStart"/>
            <w:r w:rsidRPr="00881AEC">
              <w:rPr>
                <w:i/>
                <w:iCs/>
              </w:rPr>
              <w:t>From</w:t>
            </w:r>
            <w:proofErr w:type="gramEnd"/>
            <w:r w:rsidRPr="00881AEC">
              <w:rPr>
                <w:i/>
                <w:iCs/>
              </w:rPr>
              <w:t xml:space="preserve"> Man Stabbed, derivative of the What you Egg? Meme, knowyourmeme.com, author unknown.</w:t>
            </w:r>
          </w:p>
        </w:tc>
      </w:tr>
    </w:tbl>
    <w:p w:rsidR="00881AEC" w:rsidRDefault="00881AEC">
      <w:r>
        <w:br w:type="page"/>
      </w:r>
    </w:p>
    <w:p w:rsidR="00934256" w:rsidRDefault="005750D2">
      <w:r>
        <w:lastRenderedPageBreak/>
        <w:t>Article Word Count: 2,338 words</w:t>
      </w:r>
    </w:p>
    <w:tbl>
      <w:tblPr>
        <w:tblStyle w:val="TableGrid"/>
        <w:tblW w:w="0" w:type="auto"/>
        <w:tblLook w:val="04A0" w:firstRow="1" w:lastRow="0" w:firstColumn="1" w:lastColumn="0" w:noHBand="0" w:noVBand="1"/>
      </w:tblPr>
      <w:tblGrid>
        <w:gridCol w:w="2065"/>
        <w:gridCol w:w="7285"/>
      </w:tblGrid>
      <w:tr w:rsidR="00934256" w:rsidTr="0085257E">
        <w:tc>
          <w:tcPr>
            <w:tcW w:w="2065" w:type="dxa"/>
          </w:tcPr>
          <w:p w:rsidR="00934256" w:rsidRPr="0085257E" w:rsidRDefault="00934256" w:rsidP="00934256">
            <w:pPr>
              <w:rPr>
                <w:b/>
              </w:rPr>
            </w:pPr>
            <w:r w:rsidRPr="0085257E">
              <w:rPr>
                <w:b/>
              </w:rPr>
              <w:t>Article Title:</w:t>
            </w:r>
          </w:p>
        </w:tc>
        <w:tc>
          <w:tcPr>
            <w:tcW w:w="7285" w:type="dxa"/>
          </w:tcPr>
          <w:p w:rsidR="00934256" w:rsidRDefault="00934256" w:rsidP="00934256">
            <w:r>
              <w:t xml:space="preserve">Towards Carbon Neutral Industrial Parks </w:t>
            </w:r>
            <w:r>
              <w:rPr>
                <w:highlight w:val="yellow"/>
              </w:rPr>
              <w:t>(5 words)</w:t>
            </w:r>
          </w:p>
        </w:tc>
      </w:tr>
      <w:tr w:rsidR="00934256" w:rsidTr="0085257E">
        <w:tc>
          <w:tcPr>
            <w:tcW w:w="2065" w:type="dxa"/>
          </w:tcPr>
          <w:p w:rsidR="00934256" w:rsidRPr="0085257E" w:rsidRDefault="00934256" w:rsidP="00934256">
            <w:pPr>
              <w:rPr>
                <w:b/>
              </w:rPr>
            </w:pPr>
            <w:r w:rsidRPr="0085257E">
              <w:rPr>
                <w:b/>
              </w:rPr>
              <w:t>Author:</w:t>
            </w:r>
          </w:p>
        </w:tc>
        <w:tc>
          <w:tcPr>
            <w:tcW w:w="7285" w:type="dxa"/>
          </w:tcPr>
          <w:p w:rsidR="00934256" w:rsidRDefault="00934256" w:rsidP="00934256">
            <w:r>
              <w:t xml:space="preserve">By Farah O. Ramadan ‘21, Taha O. </w:t>
            </w:r>
            <w:proofErr w:type="spellStart"/>
            <w:r>
              <w:t>Kubbar</w:t>
            </w:r>
            <w:proofErr w:type="spellEnd"/>
            <w:r>
              <w:t xml:space="preserve"> ’20, and Elizabeth J. Abraham ‘20</w:t>
            </w:r>
          </w:p>
        </w:tc>
      </w:tr>
      <w:tr w:rsidR="00934256" w:rsidTr="0085257E">
        <w:tc>
          <w:tcPr>
            <w:tcW w:w="2065" w:type="dxa"/>
          </w:tcPr>
          <w:p w:rsidR="00934256" w:rsidRPr="0085257E" w:rsidRDefault="00934256" w:rsidP="00934256">
            <w:pPr>
              <w:rPr>
                <w:b/>
              </w:rPr>
            </w:pPr>
            <w:r w:rsidRPr="0085257E">
              <w:rPr>
                <w:b/>
              </w:rPr>
              <w:t>Article Teaser:</w:t>
            </w:r>
          </w:p>
        </w:tc>
        <w:tc>
          <w:tcPr>
            <w:tcW w:w="7285" w:type="dxa"/>
          </w:tcPr>
          <w:p w:rsidR="00934256" w:rsidRPr="0085257E" w:rsidRDefault="003345B6" w:rsidP="00934256">
            <w:pPr>
              <w:rPr>
                <w:highlight w:val="yellow"/>
              </w:rPr>
            </w:pPr>
            <w:r>
              <w:t xml:space="preserve">Making eco-industrial parks both carbon neutral and profitable through resource integration and optimization. </w:t>
            </w:r>
            <w:r>
              <w:rPr>
                <w:highlight w:val="yellow"/>
              </w:rPr>
              <w:t>(13 words)</w:t>
            </w:r>
          </w:p>
        </w:tc>
      </w:tr>
      <w:tr w:rsidR="00934256" w:rsidTr="0085257E">
        <w:tc>
          <w:tcPr>
            <w:tcW w:w="2065" w:type="dxa"/>
          </w:tcPr>
          <w:p w:rsidR="00934256" w:rsidRPr="0085257E" w:rsidRDefault="00934256" w:rsidP="00934256">
            <w:pPr>
              <w:rPr>
                <w:b/>
              </w:rPr>
            </w:pPr>
            <w:r w:rsidRPr="0085257E">
              <w:rPr>
                <w:b/>
              </w:rPr>
              <w:t>Author Biography:</w:t>
            </w:r>
          </w:p>
        </w:tc>
        <w:tc>
          <w:tcPr>
            <w:tcW w:w="7285" w:type="dxa"/>
          </w:tcPr>
          <w:p w:rsidR="00934256" w:rsidRDefault="003345B6" w:rsidP="00934256">
            <w:r w:rsidRPr="00D452FC">
              <w:t xml:space="preserve">Farah Ramadan '21 is a chemical engineering major with minors in mathematics and chemistry at the Texas A&amp;M Qatar campus. Farah is from </w:t>
            </w:r>
            <w:proofErr w:type="spellStart"/>
            <w:r w:rsidRPr="00D452FC">
              <w:t>Barja</w:t>
            </w:r>
            <w:proofErr w:type="spellEnd"/>
            <w:r w:rsidRPr="00D452FC">
              <w:t>, Lebanon and attended the Bahrain Bayan School before moving to Qatar to attend college. As an undergraduate student, Farah joined a research team where she primarily studies process integration and system optimization. Farah plans to continue her research during her senior year and complete a master’s program after graduation.</w:t>
            </w:r>
            <w:r>
              <w:t xml:space="preserve"> </w:t>
            </w:r>
            <w:r>
              <w:rPr>
                <w:highlight w:val="yellow"/>
              </w:rPr>
              <w:t>(73 words)</w:t>
            </w:r>
          </w:p>
        </w:tc>
      </w:tr>
      <w:tr w:rsidR="003345B6" w:rsidTr="0085257E">
        <w:tc>
          <w:tcPr>
            <w:tcW w:w="2065" w:type="dxa"/>
          </w:tcPr>
          <w:p w:rsidR="003345B6" w:rsidRPr="0085257E" w:rsidRDefault="003345B6" w:rsidP="003345B6">
            <w:pPr>
              <w:rPr>
                <w:b/>
              </w:rPr>
            </w:pPr>
            <w:r w:rsidRPr="0085257E">
              <w:rPr>
                <w:b/>
              </w:rPr>
              <w:t>Author Biography:</w:t>
            </w:r>
          </w:p>
        </w:tc>
        <w:tc>
          <w:tcPr>
            <w:tcW w:w="7285" w:type="dxa"/>
          </w:tcPr>
          <w:p w:rsidR="003345B6" w:rsidRDefault="003345B6" w:rsidP="003345B6">
            <w:r w:rsidRPr="00D452FC">
              <w:t xml:space="preserve">Taha </w:t>
            </w:r>
            <w:proofErr w:type="spellStart"/>
            <w:r w:rsidRPr="00D452FC">
              <w:t>Kubbar</w:t>
            </w:r>
            <w:proofErr w:type="spellEnd"/>
            <w:r w:rsidRPr="00D452FC">
              <w:t xml:space="preserve"> '20 is a chemical engineering major at the Texas A&amp;M Qatar campus. He is a Libyan-Canadian who enjoys performing research to increase his knowledge on the topic of study. Taha plans to pursue a master's degree and Ph.D. in chemical engineering.</w:t>
            </w:r>
            <w:r>
              <w:t xml:space="preserve"> </w:t>
            </w:r>
            <w:r>
              <w:rPr>
                <w:highlight w:val="yellow"/>
              </w:rPr>
              <w:t>(43 words)</w:t>
            </w:r>
          </w:p>
        </w:tc>
      </w:tr>
      <w:tr w:rsidR="003345B6" w:rsidTr="0085257E">
        <w:tc>
          <w:tcPr>
            <w:tcW w:w="2065" w:type="dxa"/>
          </w:tcPr>
          <w:p w:rsidR="003345B6" w:rsidRPr="0085257E" w:rsidRDefault="003345B6" w:rsidP="003345B6">
            <w:pPr>
              <w:rPr>
                <w:b/>
              </w:rPr>
            </w:pPr>
            <w:r w:rsidRPr="0085257E">
              <w:rPr>
                <w:b/>
              </w:rPr>
              <w:t>Author Biography:</w:t>
            </w:r>
          </w:p>
        </w:tc>
        <w:tc>
          <w:tcPr>
            <w:tcW w:w="7285" w:type="dxa"/>
          </w:tcPr>
          <w:p w:rsidR="003345B6" w:rsidRPr="0085257E" w:rsidRDefault="003345B6" w:rsidP="003345B6">
            <w:pPr>
              <w:rPr>
                <w:highlight w:val="yellow"/>
              </w:rPr>
            </w:pPr>
            <w:r>
              <w:t xml:space="preserve">Elizabeth Abraham '20 is a chemical engineering major at the Texas A&amp;M Qatar campus from Kerala, India. Elizabeth has great interest in the field of optimization and sustainability, which led to her work as an Undergraduate Research Scholar utilizing process integration techniques to achieve sustainability through optimization. Elizabeth plans to continue exploring her research interests through graduate school and is pursuing a career in academia where she hopes to find solutions to achieve sustainability. </w:t>
            </w:r>
            <w:r>
              <w:rPr>
                <w:highlight w:val="yellow"/>
              </w:rPr>
              <w:t>(74 words)</w:t>
            </w:r>
          </w:p>
        </w:tc>
      </w:tr>
      <w:tr w:rsidR="00934256" w:rsidTr="0085257E">
        <w:tc>
          <w:tcPr>
            <w:tcW w:w="2065" w:type="dxa"/>
          </w:tcPr>
          <w:p w:rsidR="00934256" w:rsidRPr="0085257E" w:rsidRDefault="00934256" w:rsidP="00934256">
            <w:pPr>
              <w:rPr>
                <w:b/>
              </w:rPr>
            </w:pPr>
            <w:r w:rsidRPr="0085257E">
              <w:rPr>
                <w:b/>
              </w:rPr>
              <w:t>Pull Quote:</w:t>
            </w:r>
          </w:p>
        </w:tc>
        <w:tc>
          <w:tcPr>
            <w:tcW w:w="7285" w:type="dxa"/>
          </w:tcPr>
          <w:p w:rsidR="00934256" w:rsidRDefault="003345B6" w:rsidP="00934256">
            <w:r w:rsidRPr="006D3917">
              <w:t xml:space="preserve">Stationary sources provide a unique opportunity to capture large amounts of </w:t>
            </w:r>
            <w:r>
              <w:t>CO2</w:t>
            </w:r>
            <w:r w:rsidRPr="006D3917">
              <w:t>.</w:t>
            </w:r>
            <w:r>
              <w:t xml:space="preserve"> </w:t>
            </w:r>
            <w:r>
              <w:rPr>
                <w:highlight w:val="yellow"/>
              </w:rPr>
              <w:t>(12 words)</w:t>
            </w:r>
          </w:p>
        </w:tc>
      </w:tr>
      <w:tr w:rsidR="003345B6" w:rsidTr="0085257E">
        <w:tc>
          <w:tcPr>
            <w:tcW w:w="2065" w:type="dxa"/>
          </w:tcPr>
          <w:p w:rsidR="003345B6" w:rsidRPr="0085257E" w:rsidRDefault="003345B6" w:rsidP="003345B6">
            <w:pPr>
              <w:rPr>
                <w:b/>
              </w:rPr>
            </w:pPr>
            <w:r w:rsidRPr="0085257E">
              <w:rPr>
                <w:b/>
              </w:rPr>
              <w:t>Pull Quote:</w:t>
            </w:r>
          </w:p>
        </w:tc>
        <w:tc>
          <w:tcPr>
            <w:tcW w:w="7285" w:type="dxa"/>
          </w:tcPr>
          <w:p w:rsidR="003345B6" w:rsidRDefault="003345B6" w:rsidP="003345B6">
            <w:r w:rsidRPr="006D3917">
              <w:t>...it is possible to achieve profitability and carbon neutrality through resource integration of various processes.</w:t>
            </w:r>
            <w:r>
              <w:t xml:space="preserve"> </w:t>
            </w:r>
            <w:r>
              <w:rPr>
                <w:highlight w:val="yellow"/>
              </w:rPr>
              <w:t>(15 words)</w:t>
            </w:r>
          </w:p>
        </w:tc>
      </w:tr>
      <w:tr w:rsidR="003345B6" w:rsidTr="0085257E">
        <w:tc>
          <w:tcPr>
            <w:tcW w:w="2065" w:type="dxa"/>
          </w:tcPr>
          <w:p w:rsidR="003345B6" w:rsidRPr="0085257E" w:rsidRDefault="003345B6" w:rsidP="003345B6">
            <w:pPr>
              <w:rPr>
                <w:b/>
              </w:rPr>
            </w:pPr>
            <w:r w:rsidRPr="0085257E">
              <w:rPr>
                <w:b/>
              </w:rPr>
              <w:t>Example:</w:t>
            </w:r>
          </w:p>
        </w:tc>
        <w:tc>
          <w:tcPr>
            <w:tcW w:w="7285" w:type="dxa"/>
          </w:tcPr>
          <w:p w:rsidR="003345B6" w:rsidRDefault="003345B6" w:rsidP="003345B6">
            <w:pPr>
              <w:rPr>
                <w:i/>
                <w:iCs/>
              </w:rPr>
            </w:pPr>
            <w:r w:rsidRPr="00881AEC">
              <w:rPr>
                <w:b/>
                <w:bCs/>
                <w:i/>
                <w:iCs/>
              </w:rPr>
              <w:t xml:space="preserve">Table 3. </w:t>
            </w:r>
            <w:r w:rsidRPr="00881AEC">
              <w:rPr>
                <w:i/>
                <w:iCs/>
              </w:rPr>
              <w:t>Sensitivity analysis on plant capacity results for fluctuations in energy and material costs. In response to changes in variables, the model activated the plants to different capacities.</w:t>
            </w:r>
          </w:p>
          <w:p w:rsidR="003345B6" w:rsidRDefault="003345B6" w:rsidP="003345B6">
            <w:pPr>
              <w:rPr>
                <w:i/>
                <w:iCs/>
              </w:rPr>
            </w:pPr>
            <w:r w:rsidRPr="00881AEC">
              <w:rPr>
                <w:i/>
                <w:iCs/>
              </w:rPr>
              <w:t xml:space="preserve"> </w:t>
            </w:r>
          </w:p>
          <w:p w:rsidR="003345B6" w:rsidRDefault="003345B6" w:rsidP="003345B6">
            <w:r>
              <w:t>[</w:t>
            </w:r>
            <w:proofErr w:type="spellStart"/>
            <w:r>
              <w:t>img</w:t>
            </w:r>
            <w:proofErr w:type="spellEnd"/>
            <w:r>
              <w:t>]</w:t>
            </w:r>
          </w:p>
        </w:tc>
      </w:tr>
    </w:tbl>
    <w:p w:rsidR="00423539" w:rsidRDefault="00423539">
      <w:r>
        <w:br w:type="page"/>
      </w:r>
    </w:p>
    <w:p w:rsidR="006D3917" w:rsidRDefault="005750D2" w:rsidP="006D3917">
      <w:r>
        <w:lastRenderedPageBreak/>
        <w:t>Article Word Count: 2,620 words</w:t>
      </w:r>
    </w:p>
    <w:tbl>
      <w:tblPr>
        <w:tblStyle w:val="TableGrid"/>
        <w:tblW w:w="0" w:type="auto"/>
        <w:tblLook w:val="04A0" w:firstRow="1" w:lastRow="0" w:firstColumn="1" w:lastColumn="0" w:noHBand="0" w:noVBand="1"/>
      </w:tblPr>
      <w:tblGrid>
        <w:gridCol w:w="2245"/>
        <w:gridCol w:w="7105"/>
      </w:tblGrid>
      <w:tr w:rsidR="00934256" w:rsidTr="0085257E">
        <w:tc>
          <w:tcPr>
            <w:tcW w:w="2245" w:type="dxa"/>
          </w:tcPr>
          <w:p w:rsidR="00934256" w:rsidRPr="0085257E" w:rsidRDefault="00934256" w:rsidP="00934256">
            <w:pPr>
              <w:rPr>
                <w:b/>
              </w:rPr>
            </w:pPr>
            <w:r w:rsidRPr="0085257E">
              <w:rPr>
                <w:b/>
              </w:rPr>
              <w:t>Article Title:</w:t>
            </w:r>
          </w:p>
        </w:tc>
        <w:tc>
          <w:tcPr>
            <w:tcW w:w="7105" w:type="dxa"/>
          </w:tcPr>
          <w:p w:rsidR="00934256" w:rsidRDefault="00525FAB" w:rsidP="00934256">
            <w:r>
              <w:t xml:space="preserve">Multidisciplinary Perspectives on the Decision Processes of Surgical Candidates </w:t>
            </w:r>
            <w:r>
              <w:rPr>
                <w:highlight w:val="yellow"/>
              </w:rPr>
              <w:t>(9 words)</w:t>
            </w:r>
          </w:p>
        </w:tc>
      </w:tr>
      <w:tr w:rsidR="00934256" w:rsidTr="0085257E">
        <w:tc>
          <w:tcPr>
            <w:tcW w:w="2245" w:type="dxa"/>
          </w:tcPr>
          <w:p w:rsidR="00934256" w:rsidRPr="0085257E" w:rsidRDefault="00934256" w:rsidP="00934256">
            <w:pPr>
              <w:rPr>
                <w:b/>
              </w:rPr>
            </w:pPr>
            <w:r w:rsidRPr="0085257E">
              <w:rPr>
                <w:b/>
              </w:rPr>
              <w:t>Author:</w:t>
            </w:r>
          </w:p>
        </w:tc>
        <w:tc>
          <w:tcPr>
            <w:tcW w:w="7105" w:type="dxa"/>
          </w:tcPr>
          <w:p w:rsidR="00934256" w:rsidRDefault="00525FAB" w:rsidP="00934256">
            <w:r>
              <w:t xml:space="preserve">By Zachary J. </w:t>
            </w:r>
            <w:proofErr w:type="spellStart"/>
            <w:r>
              <w:t>Skrehot</w:t>
            </w:r>
            <w:proofErr w:type="spellEnd"/>
            <w:r>
              <w:t xml:space="preserve"> '21</w:t>
            </w:r>
          </w:p>
        </w:tc>
      </w:tr>
      <w:tr w:rsidR="00934256" w:rsidTr="0085257E">
        <w:tc>
          <w:tcPr>
            <w:tcW w:w="2245" w:type="dxa"/>
          </w:tcPr>
          <w:p w:rsidR="00934256" w:rsidRPr="0085257E" w:rsidRDefault="00934256" w:rsidP="00934256">
            <w:pPr>
              <w:rPr>
                <w:b/>
              </w:rPr>
            </w:pPr>
            <w:r w:rsidRPr="0085257E">
              <w:rPr>
                <w:b/>
              </w:rPr>
              <w:t>Article Teaser:</w:t>
            </w:r>
          </w:p>
        </w:tc>
        <w:tc>
          <w:tcPr>
            <w:tcW w:w="7105" w:type="dxa"/>
          </w:tcPr>
          <w:p w:rsidR="00934256" w:rsidRPr="0085257E" w:rsidRDefault="00525FAB" w:rsidP="00934256">
            <w:pPr>
              <w:rPr>
                <w:highlight w:val="yellow"/>
              </w:rPr>
            </w:pPr>
            <w:r>
              <w:t xml:space="preserve">Using the Prospect Theory to address patient choices regarding surgical procedures. </w:t>
            </w:r>
            <w:r>
              <w:rPr>
                <w:highlight w:val="yellow"/>
              </w:rPr>
              <w:t>(11 words)</w:t>
            </w:r>
          </w:p>
        </w:tc>
      </w:tr>
      <w:tr w:rsidR="00934256" w:rsidTr="0085257E">
        <w:tc>
          <w:tcPr>
            <w:tcW w:w="2245" w:type="dxa"/>
          </w:tcPr>
          <w:p w:rsidR="00934256" w:rsidRPr="0085257E" w:rsidRDefault="00934256" w:rsidP="00934256">
            <w:pPr>
              <w:rPr>
                <w:b/>
              </w:rPr>
            </w:pPr>
            <w:r w:rsidRPr="0085257E">
              <w:rPr>
                <w:b/>
              </w:rPr>
              <w:t>Author Biography:</w:t>
            </w:r>
          </w:p>
        </w:tc>
        <w:tc>
          <w:tcPr>
            <w:tcW w:w="7105" w:type="dxa"/>
          </w:tcPr>
          <w:p w:rsidR="00934256" w:rsidRPr="0085257E" w:rsidRDefault="00525FAB" w:rsidP="00934256">
            <w:pPr>
              <w:rPr>
                <w:highlight w:val="yellow"/>
              </w:rPr>
            </w:pPr>
            <w:r w:rsidRPr="00D452FC">
              <w:t xml:space="preserve">Zachary J. </w:t>
            </w:r>
            <w:proofErr w:type="spellStart"/>
            <w:r w:rsidRPr="00D452FC">
              <w:t>Skrehot</w:t>
            </w:r>
            <w:proofErr w:type="spellEnd"/>
            <w:r w:rsidRPr="00D452FC">
              <w:t xml:space="preserve"> '21 is an accounting major with minors in psychology and economics from Spring, Texas who went to Klein Collins High School. After undergoing a series of spinal procedures, Zachary became interested in pain perception and disparities, and eventually started as a research assistant in the Mathur Lab at Texas A&amp;M in April of 2019. Zachary plans to continue exploring research opportunities on topics surrounding surgery and health outcomes during his senior year and after graduation.</w:t>
            </w:r>
            <w:r>
              <w:t xml:space="preserve"> </w:t>
            </w:r>
            <w:r>
              <w:rPr>
                <w:highlight w:val="yellow"/>
              </w:rPr>
              <w:t>(78 words)</w:t>
            </w:r>
          </w:p>
        </w:tc>
      </w:tr>
      <w:tr w:rsidR="00934256" w:rsidTr="0085257E">
        <w:tc>
          <w:tcPr>
            <w:tcW w:w="2245" w:type="dxa"/>
          </w:tcPr>
          <w:p w:rsidR="00934256" w:rsidRPr="0085257E" w:rsidRDefault="00934256" w:rsidP="00934256">
            <w:pPr>
              <w:rPr>
                <w:b/>
              </w:rPr>
            </w:pPr>
            <w:r w:rsidRPr="0085257E">
              <w:rPr>
                <w:b/>
              </w:rPr>
              <w:t>Pull Quote:</w:t>
            </w:r>
          </w:p>
        </w:tc>
        <w:tc>
          <w:tcPr>
            <w:tcW w:w="7105" w:type="dxa"/>
          </w:tcPr>
          <w:p w:rsidR="00934256" w:rsidRDefault="00525FAB" w:rsidP="00934256">
            <w:r>
              <w:t xml:space="preserve">Unnecessary invasive procedures are estimated to be responsible for the death of 30,000 Medicare recipients annually. </w:t>
            </w:r>
            <w:r>
              <w:rPr>
                <w:highlight w:val="yellow"/>
              </w:rPr>
              <w:t>(16 words)</w:t>
            </w:r>
          </w:p>
        </w:tc>
      </w:tr>
      <w:tr w:rsidR="00934256" w:rsidTr="0085257E">
        <w:tc>
          <w:tcPr>
            <w:tcW w:w="2245" w:type="dxa"/>
          </w:tcPr>
          <w:p w:rsidR="00934256" w:rsidRPr="0085257E" w:rsidRDefault="00934256" w:rsidP="00934256">
            <w:pPr>
              <w:rPr>
                <w:b/>
              </w:rPr>
            </w:pPr>
            <w:r w:rsidRPr="0085257E">
              <w:rPr>
                <w:b/>
              </w:rPr>
              <w:t>Pull Quote:</w:t>
            </w:r>
          </w:p>
        </w:tc>
        <w:tc>
          <w:tcPr>
            <w:tcW w:w="7105" w:type="dxa"/>
          </w:tcPr>
          <w:p w:rsidR="00934256" w:rsidRDefault="00525FAB" w:rsidP="00934256">
            <w:r w:rsidRPr="006D3917">
              <w:t>…the burden of avoiding an unnecessary procedure falls heavily on the patient…</w:t>
            </w:r>
            <w:r>
              <w:t xml:space="preserve"> </w:t>
            </w:r>
            <w:r>
              <w:rPr>
                <w:highlight w:val="yellow"/>
              </w:rPr>
              <w:t>(12 words)</w:t>
            </w:r>
          </w:p>
        </w:tc>
      </w:tr>
      <w:tr w:rsidR="00934256" w:rsidTr="0085257E">
        <w:tc>
          <w:tcPr>
            <w:tcW w:w="2245" w:type="dxa"/>
          </w:tcPr>
          <w:p w:rsidR="00934256" w:rsidRPr="0085257E" w:rsidRDefault="00934256" w:rsidP="00934256">
            <w:pPr>
              <w:rPr>
                <w:b/>
              </w:rPr>
            </w:pPr>
            <w:r w:rsidRPr="0085257E">
              <w:rPr>
                <w:b/>
              </w:rPr>
              <w:t>Pull Quote:</w:t>
            </w:r>
          </w:p>
        </w:tc>
        <w:tc>
          <w:tcPr>
            <w:tcW w:w="7105" w:type="dxa"/>
          </w:tcPr>
          <w:p w:rsidR="00934256" w:rsidRDefault="00525FAB" w:rsidP="00934256">
            <w:r w:rsidRPr="006D3917">
              <w:t>It is the responsibility of our healthcare system to enable patients to make efficient decisions</w:t>
            </w:r>
            <w:r>
              <w:t xml:space="preserve">. </w:t>
            </w:r>
            <w:r>
              <w:rPr>
                <w:highlight w:val="yellow"/>
              </w:rPr>
              <w:t>(15 words)</w:t>
            </w:r>
          </w:p>
        </w:tc>
      </w:tr>
    </w:tbl>
    <w:p w:rsidR="00423539" w:rsidRDefault="00423539">
      <w:r>
        <w:br w:type="page"/>
      </w:r>
    </w:p>
    <w:p w:rsidR="0035211A" w:rsidRDefault="005750D2">
      <w:pPr>
        <w:rPr>
          <w:highlight w:val="yellow"/>
        </w:rPr>
      </w:pPr>
      <w:r>
        <w:lastRenderedPageBreak/>
        <w:t>Article Word Count: 2,575 words</w:t>
      </w:r>
    </w:p>
    <w:tbl>
      <w:tblPr>
        <w:tblStyle w:val="TableGrid"/>
        <w:tblW w:w="0" w:type="auto"/>
        <w:tblLook w:val="04A0" w:firstRow="1" w:lastRow="0" w:firstColumn="1" w:lastColumn="0" w:noHBand="0" w:noVBand="1"/>
      </w:tblPr>
      <w:tblGrid>
        <w:gridCol w:w="1885"/>
        <w:gridCol w:w="7465"/>
      </w:tblGrid>
      <w:tr w:rsidR="00525FAB" w:rsidTr="00525FAB">
        <w:tc>
          <w:tcPr>
            <w:tcW w:w="1885" w:type="dxa"/>
          </w:tcPr>
          <w:p w:rsidR="00525FAB" w:rsidRPr="0085257E" w:rsidRDefault="00525FAB" w:rsidP="00072922">
            <w:pPr>
              <w:rPr>
                <w:b/>
              </w:rPr>
            </w:pPr>
            <w:r w:rsidRPr="0085257E">
              <w:rPr>
                <w:b/>
              </w:rPr>
              <w:t>Article Title:</w:t>
            </w:r>
          </w:p>
        </w:tc>
        <w:tc>
          <w:tcPr>
            <w:tcW w:w="7465" w:type="dxa"/>
          </w:tcPr>
          <w:p w:rsidR="00525FAB" w:rsidRDefault="00525FAB" w:rsidP="00072922">
            <w:r>
              <w:t xml:space="preserve">The </w:t>
            </w:r>
            <w:proofErr w:type="spellStart"/>
            <w:r>
              <w:t>Butovo</w:t>
            </w:r>
            <w:proofErr w:type="spellEnd"/>
            <w:r>
              <w:t xml:space="preserve"> Firing Range: A Commemoration of the Victims of Soviet Repression </w:t>
            </w:r>
            <w:r>
              <w:rPr>
                <w:highlight w:val="yellow"/>
              </w:rPr>
              <w:t>(12 words)</w:t>
            </w:r>
          </w:p>
        </w:tc>
      </w:tr>
      <w:tr w:rsidR="00525FAB" w:rsidTr="00525FAB">
        <w:tc>
          <w:tcPr>
            <w:tcW w:w="1885" w:type="dxa"/>
          </w:tcPr>
          <w:p w:rsidR="00525FAB" w:rsidRPr="0085257E" w:rsidRDefault="00525FAB" w:rsidP="00072922">
            <w:pPr>
              <w:rPr>
                <w:b/>
              </w:rPr>
            </w:pPr>
            <w:r w:rsidRPr="0085257E">
              <w:rPr>
                <w:b/>
              </w:rPr>
              <w:t>Author:</w:t>
            </w:r>
          </w:p>
        </w:tc>
        <w:tc>
          <w:tcPr>
            <w:tcW w:w="7465" w:type="dxa"/>
          </w:tcPr>
          <w:p w:rsidR="00525FAB" w:rsidRDefault="00525FAB" w:rsidP="00072922">
            <w:r>
              <w:t>By Grace Dye ‘20</w:t>
            </w:r>
          </w:p>
        </w:tc>
      </w:tr>
      <w:tr w:rsidR="00525FAB" w:rsidTr="00525FAB">
        <w:tc>
          <w:tcPr>
            <w:tcW w:w="1885" w:type="dxa"/>
          </w:tcPr>
          <w:p w:rsidR="00525FAB" w:rsidRPr="0085257E" w:rsidRDefault="00525FAB" w:rsidP="00072922">
            <w:pPr>
              <w:rPr>
                <w:b/>
              </w:rPr>
            </w:pPr>
            <w:r w:rsidRPr="0085257E">
              <w:rPr>
                <w:b/>
              </w:rPr>
              <w:t>Article Teaser:</w:t>
            </w:r>
          </w:p>
        </w:tc>
        <w:tc>
          <w:tcPr>
            <w:tcW w:w="7465" w:type="dxa"/>
          </w:tcPr>
          <w:p w:rsidR="00525FAB" w:rsidRPr="0085257E" w:rsidRDefault="00525FAB" w:rsidP="00072922">
            <w:pPr>
              <w:rPr>
                <w:highlight w:val="yellow"/>
              </w:rPr>
            </w:pPr>
            <w:r>
              <w:t xml:space="preserve">An examination of the contemporary Russian government's failure to acknowledge the bloodstained past of the </w:t>
            </w:r>
            <w:proofErr w:type="spellStart"/>
            <w:r>
              <w:t>Butovo</w:t>
            </w:r>
            <w:proofErr w:type="spellEnd"/>
            <w:r>
              <w:t xml:space="preserve"> Polygon. </w:t>
            </w:r>
            <w:r>
              <w:rPr>
                <w:highlight w:val="yellow"/>
              </w:rPr>
              <w:t>(17 words)</w:t>
            </w:r>
          </w:p>
        </w:tc>
      </w:tr>
      <w:tr w:rsidR="00525FAB" w:rsidTr="00525FAB">
        <w:tc>
          <w:tcPr>
            <w:tcW w:w="1885" w:type="dxa"/>
          </w:tcPr>
          <w:p w:rsidR="00525FAB" w:rsidRPr="0085257E" w:rsidRDefault="00525FAB" w:rsidP="00072922">
            <w:pPr>
              <w:rPr>
                <w:b/>
              </w:rPr>
            </w:pPr>
            <w:r w:rsidRPr="0085257E">
              <w:rPr>
                <w:b/>
              </w:rPr>
              <w:t>Author Biography:</w:t>
            </w:r>
          </w:p>
        </w:tc>
        <w:tc>
          <w:tcPr>
            <w:tcW w:w="7465" w:type="dxa"/>
          </w:tcPr>
          <w:p w:rsidR="00525FAB" w:rsidRPr="0085257E" w:rsidRDefault="00525FAB" w:rsidP="00072922">
            <w:pPr>
              <w:rPr>
                <w:highlight w:val="yellow"/>
              </w:rPr>
            </w:pPr>
            <w:r w:rsidRPr="00D452FC">
              <w:t>Grace Dye '20 is a double major in Russian and history from College Station, Texas. She began her research in order to display little-known elements of Russia's captivating history. After graduation, Grace hopes to earn her Ph.D. in Slavic studies and teach in higher education. Her ultimate goal is to help open Russian culture to Americans and create a better understanding of Russia as a whole, the way her teachers did for her.</w:t>
            </w:r>
            <w:r>
              <w:t xml:space="preserve"> </w:t>
            </w:r>
            <w:r>
              <w:rPr>
                <w:highlight w:val="yellow"/>
              </w:rPr>
              <w:t>(73 words)</w:t>
            </w:r>
          </w:p>
        </w:tc>
      </w:tr>
      <w:tr w:rsidR="00525FAB" w:rsidTr="00525FAB">
        <w:tc>
          <w:tcPr>
            <w:tcW w:w="1885" w:type="dxa"/>
          </w:tcPr>
          <w:p w:rsidR="00525FAB" w:rsidRPr="0085257E" w:rsidRDefault="00525FAB" w:rsidP="00072922">
            <w:pPr>
              <w:rPr>
                <w:b/>
              </w:rPr>
            </w:pPr>
            <w:r w:rsidRPr="0085257E">
              <w:rPr>
                <w:b/>
              </w:rPr>
              <w:t>Pull Quote:</w:t>
            </w:r>
          </w:p>
        </w:tc>
        <w:tc>
          <w:tcPr>
            <w:tcW w:w="7465" w:type="dxa"/>
          </w:tcPr>
          <w:p w:rsidR="00525FAB" w:rsidRDefault="00525FAB" w:rsidP="00072922">
            <w:r w:rsidRPr="006D3917">
              <w:t>The church recognizes the significance of these sites without downplaying the role played by the soviet government.</w:t>
            </w:r>
            <w:r>
              <w:t xml:space="preserve"> </w:t>
            </w:r>
            <w:r>
              <w:rPr>
                <w:highlight w:val="yellow"/>
              </w:rPr>
              <w:t>(17 words)</w:t>
            </w:r>
          </w:p>
        </w:tc>
      </w:tr>
      <w:tr w:rsidR="00525FAB" w:rsidTr="00525FAB">
        <w:tc>
          <w:tcPr>
            <w:tcW w:w="1885" w:type="dxa"/>
          </w:tcPr>
          <w:p w:rsidR="00525FAB" w:rsidRPr="0085257E" w:rsidRDefault="00525FAB" w:rsidP="00072922">
            <w:pPr>
              <w:rPr>
                <w:b/>
              </w:rPr>
            </w:pPr>
            <w:r w:rsidRPr="0085257E">
              <w:rPr>
                <w:b/>
              </w:rPr>
              <w:t>Pull Quote:</w:t>
            </w:r>
          </w:p>
        </w:tc>
        <w:tc>
          <w:tcPr>
            <w:tcW w:w="7465" w:type="dxa"/>
          </w:tcPr>
          <w:p w:rsidR="00525FAB" w:rsidRDefault="00525FAB" w:rsidP="00072922">
            <w:r w:rsidRPr="006D3917">
              <w:t xml:space="preserve">The </w:t>
            </w:r>
            <w:r>
              <w:t>R</w:t>
            </w:r>
            <w:r w:rsidRPr="006D3917">
              <w:t xml:space="preserve">ussian state has not been as active in commemorating </w:t>
            </w:r>
            <w:proofErr w:type="spellStart"/>
            <w:r>
              <w:t>B</w:t>
            </w:r>
            <w:r w:rsidRPr="006D3917">
              <w:t>utovo</w:t>
            </w:r>
            <w:proofErr w:type="spellEnd"/>
            <w:r w:rsidRPr="006D3917">
              <w:t xml:space="preserve"> victims</w:t>
            </w:r>
            <w:r>
              <w:t xml:space="preserve">. </w:t>
            </w:r>
            <w:r>
              <w:rPr>
                <w:highlight w:val="yellow"/>
              </w:rPr>
              <w:t>(12 words)</w:t>
            </w:r>
          </w:p>
        </w:tc>
      </w:tr>
      <w:tr w:rsidR="00525FAB" w:rsidTr="00525FAB">
        <w:tc>
          <w:tcPr>
            <w:tcW w:w="1885" w:type="dxa"/>
          </w:tcPr>
          <w:p w:rsidR="00525FAB" w:rsidRPr="0085257E" w:rsidRDefault="00525FAB" w:rsidP="00072922">
            <w:pPr>
              <w:rPr>
                <w:b/>
              </w:rPr>
            </w:pPr>
            <w:r w:rsidRPr="0085257E">
              <w:rPr>
                <w:b/>
              </w:rPr>
              <w:t>Example:</w:t>
            </w:r>
          </w:p>
        </w:tc>
        <w:tc>
          <w:tcPr>
            <w:tcW w:w="7465" w:type="dxa"/>
          </w:tcPr>
          <w:p w:rsidR="00525FAB" w:rsidRPr="00881AEC" w:rsidRDefault="00525FAB" w:rsidP="00072922">
            <w:r>
              <w:t>[</w:t>
            </w:r>
            <w:proofErr w:type="spellStart"/>
            <w:r>
              <w:t>img</w:t>
            </w:r>
            <w:proofErr w:type="spellEnd"/>
            <w:r>
              <w:t>]</w:t>
            </w:r>
          </w:p>
          <w:p w:rsidR="00525FAB" w:rsidRDefault="00525FAB" w:rsidP="00072922">
            <w:r w:rsidRPr="00881AEC">
              <w:rPr>
                <w:b/>
                <w:bCs/>
                <w:i/>
                <w:iCs/>
              </w:rPr>
              <w:t xml:space="preserve">Figure 5. </w:t>
            </w:r>
            <w:r w:rsidRPr="00881AEC">
              <w:rPr>
                <w:i/>
                <w:iCs/>
              </w:rPr>
              <w:t xml:space="preserve">Dome of the Church of the Resurrection at </w:t>
            </w:r>
            <w:proofErr w:type="spellStart"/>
            <w:r w:rsidRPr="00881AEC">
              <w:rPr>
                <w:i/>
                <w:iCs/>
              </w:rPr>
              <w:t>Butovo</w:t>
            </w:r>
            <w:proofErr w:type="spellEnd"/>
            <w:r w:rsidRPr="00881AEC">
              <w:rPr>
                <w:i/>
                <w:iCs/>
              </w:rPr>
              <w:t>. Photo taken by the author July 2017.</w:t>
            </w:r>
          </w:p>
        </w:tc>
      </w:tr>
    </w:tbl>
    <w:p w:rsidR="0092218E" w:rsidRPr="0092218E" w:rsidRDefault="0092218E" w:rsidP="0092218E">
      <w:pPr>
        <w:rPr>
          <w:sz w:val="14"/>
          <w:szCs w:val="18"/>
        </w:rPr>
      </w:pPr>
      <w:r w:rsidRPr="0092218E">
        <w:rPr>
          <w:sz w:val="14"/>
          <w:szCs w:val="18"/>
        </w:rPr>
        <w:t xml:space="preserve">In 1934, the NKVD appropriated </w:t>
      </w:r>
      <w:proofErr w:type="spellStart"/>
      <w:r w:rsidRPr="0092218E">
        <w:rPr>
          <w:sz w:val="14"/>
          <w:szCs w:val="18"/>
        </w:rPr>
        <w:t>Butovo</w:t>
      </w:r>
      <w:proofErr w:type="spellEnd"/>
      <w:r w:rsidRPr="0092218E">
        <w:rPr>
          <w:sz w:val="14"/>
          <w:szCs w:val="18"/>
        </w:rPr>
        <w:t xml:space="preserve"> Polygon and equipped it as a private firing range.</w:t>
      </w:r>
      <w:r w:rsidRPr="0092218E">
        <w:rPr>
          <w:b/>
          <w:bCs/>
          <w:sz w:val="14"/>
          <w:szCs w:val="18"/>
          <w:highlight w:val="cyan"/>
          <w:u w:val="single"/>
        </w:rPr>
        <w:t>7</w:t>
      </w:r>
      <w:r w:rsidRPr="0092218E">
        <w:rPr>
          <w:b/>
          <w:bCs/>
          <w:sz w:val="14"/>
          <w:szCs w:val="18"/>
          <w:u w:val="single"/>
        </w:rPr>
        <w:t xml:space="preserve"> </w:t>
      </w:r>
      <w:r w:rsidRPr="0092218E">
        <w:rPr>
          <w:sz w:val="14"/>
          <w:szCs w:val="18"/>
        </w:rPr>
        <w:t xml:space="preserve">Formerly an estate, the firing range was walled off from the public and used to test military equipment before Order #00447. After Order #00447 was given in 1937, the range was modified to an execution site and mass burial ground. The NKDV chose </w:t>
      </w:r>
      <w:proofErr w:type="spellStart"/>
      <w:r w:rsidRPr="0092218E">
        <w:rPr>
          <w:sz w:val="14"/>
          <w:szCs w:val="18"/>
        </w:rPr>
        <w:t>Butovo</w:t>
      </w:r>
      <w:proofErr w:type="spellEnd"/>
      <w:r w:rsidRPr="0092218E">
        <w:rPr>
          <w:sz w:val="14"/>
          <w:szCs w:val="18"/>
        </w:rPr>
        <w:t xml:space="preserve"> because it was far enough from Moscow to perform killings in se</w:t>
      </w:r>
      <w:r w:rsidRPr="0092218E">
        <w:rPr>
          <w:sz w:val="14"/>
          <w:szCs w:val="18"/>
        </w:rPr>
        <w:softHyphen/>
        <w:t>cret. At the time, many Russians did not believe Stalin himself was responsible for the carnage inflicted by Order #00447, so executions were usually concealed. The firing range operated as a “special object,” a code term among Stalin’s secret police for a secret execution</w:t>
      </w:r>
      <w:r w:rsidRPr="0092218E">
        <w:rPr>
          <w:rFonts w:ascii="Times New Roman" w:hAnsi="Times New Roman" w:cs="Times New Roman"/>
          <w:color w:val="221E1F"/>
          <w:sz w:val="14"/>
          <w:szCs w:val="18"/>
        </w:rPr>
        <w:t xml:space="preserve"> </w:t>
      </w:r>
      <w:r w:rsidRPr="0092218E">
        <w:rPr>
          <w:sz w:val="14"/>
          <w:szCs w:val="18"/>
        </w:rPr>
        <w:t>site.</w:t>
      </w:r>
      <w:r w:rsidRPr="0092218E">
        <w:rPr>
          <w:b/>
          <w:bCs/>
          <w:sz w:val="14"/>
          <w:szCs w:val="18"/>
          <w:u w:val="single"/>
        </w:rPr>
        <w:t xml:space="preserve">8 </w:t>
      </w:r>
      <w:r w:rsidRPr="0092218E">
        <w:rPr>
          <w:sz w:val="14"/>
          <w:szCs w:val="18"/>
        </w:rPr>
        <w:t xml:space="preserve">Moreover, </w:t>
      </w:r>
      <w:proofErr w:type="spellStart"/>
      <w:r w:rsidRPr="0092218E">
        <w:rPr>
          <w:sz w:val="14"/>
          <w:szCs w:val="18"/>
        </w:rPr>
        <w:t>Butovo</w:t>
      </w:r>
      <w:proofErr w:type="spellEnd"/>
      <w:r w:rsidRPr="0092218E">
        <w:rPr>
          <w:sz w:val="14"/>
          <w:szCs w:val="18"/>
        </w:rPr>
        <w:t xml:space="preserve"> became handy as a burial site. Moscow cemeteries had run out of room to bury all the dead from Stalin’s purges; however, </w:t>
      </w:r>
      <w:proofErr w:type="spellStart"/>
      <w:r w:rsidRPr="0092218E">
        <w:rPr>
          <w:sz w:val="14"/>
          <w:szCs w:val="18"/>
        </w:rPr>
        <w:t>Butovo</w:t>
      </w:r>
      <w:proofErr w:type="spellEnd"/>
      <w:r w:rsidRPr="0092218E">
        <w:rPr>
          <w:sz w:val="14"/>
          <w:szCs w:val="18"/>
        </w:rPr>
        <w:t xml:space="preserve"> provided plenty of space for the bodies. Because of its secrecy, later investigators of the site doubted the range was truly a burial mound. A team of archaeolo</w:t>
      </w:r>
      <w:r w:rsidRPr="0092218E">
        <w:rPr>
          <w:sz w:val="14"/>
          <w:szCs w:val="18"/>
        </w:rPr>
        <w:softHyphen/>
        <w:t xml:space="preserve">gists disproved this theory in 1997. Victims buried in the firing range are still there to this day, their graves undisturbed. </w:t>
      </w:r>
    </w:p>
    <w:p w:rsidR="0092218E" w:rsidRPr="0092218E" w:rsidRDefault="0092218E" w:rsidP="0092218E">
      <w:pPr>
        <w:rPr>
          <w:sz w:val="14"/>
          <w:szCs w:val="18"/>
        </w:rPr>
      </w:pPr>
      <w:proofErr w:type="spellStart"/>
      <w:r w:rsidRPr="0092218E">
        <w:rPr>
          <w:sz w:val="14"/>
          <w:szCs w:val="18"/>
        </w:rPr>
        <w:t>Butovo</w:t>
      </w:r>
      <w:proofErr w:type="spellEnd"/>
      <w:r w:rsidRPr="0092218E">
        <w:rPr>
          <w:sz w:val="14"/>
          <w:szCs w:val="18"/>
        </w:rPr>
        <w:t xml:space="preserve"> has a total of 13 mass graves, each about a kilometer long.</w:t>
      </w:r>
      <w:r w:rsidRPr="0092218E">
        <w:rPr>
          <w:b/>
          <w:bCs/>
          <w:sz w:val="14"/>
          <w:szCs w:val="18"/>
          <w:highlight w:val="cyan"/>
          <w:u w:val="single"/>
        </w:rPr>
        <w:t>9</w:t>
      </w:r>
      <w:r w:rsidRPr="0092218E">
        <w:rPr>
          <w:b/>
          <w:bCs/>
          <w:sz w:val="14"/>
          <w:szCs w:val="18"/>
          <w:u w:val="single"/>
        </w:rPr>
        <w:t xml:space="preserve"> </w:t>
      </w:r>
      <w:r w:rsidRPr="0092218E">
        <w:rPr>
          <w:sz w:val="14"/>
          <w:szCs w:val="18"/>
        </w:rPr>
        <w:t>The well-kept lawn is dotted with square mounds of earth heaped over the graves in order to distinguish them from the rest of the area. Because the NKVD kept detailed dossiers of its victims, including photos, much has been dis</w:t>
      </w:r>
      <w:r w:rsidRPr="0092218E">
        <w:rPr>
          <w:sz w:val="14"/>
          <w:szCs w:val="18"/>
        </w:rPr>
        <w:softHyphen/>
        <w:t xml:space="preserve">covered about the identities of the graves’ occupants. These records detail a staggering number of bodies. Over 14 months, a recorded 20,762 individuals were shot at </w:t>
      </w:r>
      <w:proofErr w:type="spellStart"/>
      <w:r w:rsidRPr="0092218E">
        <w:rPr>
          <w:sz w:val="14"/>
          <w:szCs w:val="18"/>
        </w:rPr>
        <w:t>Butovo</w:t>
      </w:r>
      <w:proofErr w:type="spellEnd"/>
      <w:r w:rsidRPr="0092218E">
        <w:rPr>
          <w:sz w:val="14"/>
          <w:szCs w:val="18"/>
        </w:rPr>
        <w:t xml:space="preserve"> Polygon.</w:t>
      </w:r>
      <w:r w:rsidRPr="0092218E">
        <w:rPr>
          <w:b/>
          <w:bCs/>
          <w:sz w:val="14"/>
          <w:szCs w:val="18"/>
          <w:highlight w:val="cyan"/>
          <w:u w:val="single"/>
        </w:rPr>
        <w:t>10</w:t>
      </w:r>
      <w:r w:rsidRPr="0092218E">
        <w:rPr>
          <w:b/>
          <w:bCs/>
          <w:sz w:val="14"/>
          <w:szCs w:val="18"/>
          <w:u w:val="single"/>
        </w:rPr>
        <w:t xml:space="preserve"> </w:t>
      </w:r>
      <w:r w:rsidRPr="0092218E">
        <w:rPr>
          <w:sz w:val="14"/>
          <w:szCs w:val="18"/>
        </w:rPr>
        <w:t>According to the archeol</w:t>
      </w:r>
      <w:r w:rsidRPr="0092218E">
        <w:rPr>
          <w:sz w:val="14"/>
          <w:szCs w:val="18"/>
        </w:rPr>
        <w:softHyphen/>
        <w:t>ogists who confirmed these burials, the actual total might exceed 40,000.</w:t>
      </w:r>
      <w:r w:rsidRPr="0092218E">
        <w:rPr>
          <w:b/>
          <w:bCs/>
          <w:sz w:val="14"/>
          <w:szCs w:val="18"/>
          <w:u w:val="single"/>
        </w:rPr>
        <w:t>11</w:t>
      </w:r>
    </w:p>
    <w:p w:rsidR="0092218E" w:rsidRPr="0092218E" w:rsidRDefault="0092218E" w:rsidP="0035211A">
      <w:pPr>
        <w:rPr>
          <w:sz w:val="16"/>
        </w:rPr>
        <w:sectPr w:rsidR="0092218E" w:rsidRPr="0092218E" w:rsidSect="0054272B">
          <w:type w:val="continuous"/>
          <w:pgSz w:w="12240" w:h="15840"/>
          <w:pgMar w:top="1440" w:right="1440" w:bottom="1440" w:left="1440" w:header="720" w:footer="720" w:gutter="0"/>
          <w:cols w:space="720"/>
          <w:docGrid w:linePitch="360"/>
        </w:sectPr>
      </w:pPr>
    </w:p>
    <w:p w:rsidR="0035211A" w:rsidRPr="0092218E" w:rsidRDefault="0054272B" w:rsidP="0054272B">
      <w:pPr>
        <w:spacing w:after="40" w:line="240" w:lineRule="auto"/>
        <w:rPr>
          <w:sz w:val="14"/>
        </w:rPr>
      </w:pPr>
      <w:r w:rsidRPr="0092218E">
        <w:rPr>
          <w:sz w:val="14"/>
        </w:rPr>
        <w:t xml:space="preserve">1. </w:t>
      </w:r>
      <w:proofErr w:type="spellStart"/>
      <w:r w:rsidR="0035211A" w:rsidRPr="0092218E">
        <w:rPr>
          <w:sz w:val="14"/>
        </w:rPr>
        <w:t>Nérard</w:t>
      </w:r>
      <w:proofErr w:type="spellEnd"/>
      <w:r w:rsidR="0035211A" w:rsidRPr="0092218E">
        <w:rPr>
          <w:sz w:val="14"/>
        </w:rPr>
        <w:t xml:space="preserve"> François-Xavier, “The </w:t>
      </w:r>
      <w:proofErr w:type="spellStart"/>
      <w:r w:rsidR="0035211A" w:rsidRPr="0092218E">
        <w:rPr>
          <w:sz w:val="14"/>
        </w:rPr>
        <w:t>Butovo</w:t>
      </w:r>
      <w:proofErr w:type="spellEnd"/>
      <w:r w:rsidR="0035211A" w:rsidRPr="0092218E">
        <w:rPr>
          <w:sz w:val="14"/>
        </w:rPr>
        <w:t xml:space="preserve"> Shooting Range,” sciencespo.fr, Section A, February 27, 2009, </w:t>
      </w:r>
      <w:r w:rsidR="0035211A" w:rsidRPr="0092218E">
        <w:rPr>
          <w:b/>
          <w:bCs/>
          <w:sz w:val="14"/>
          <w:u w:val="single"/>
        </w:rPr>
        <w:t>https://www.sciencespo.fr/mass-vio</w:t>
      </w:r>
      <w:r w:rsidR="0035211A" w:rsidRPr="0092218E">
        <w:rPr>
          <w:b/>
          <w:bCs/>
          <w:sz w:val="14"/>
          <w:u w:val="single"/>
        </w:rPr>
        <w:softHyphen/>
        <w:t>lence-war-massacre-resistance/en/document/butovo-shooting-range</w:t>
      </w:r>
      <w:r w:rsidR="0035211A" w:rsidRPr="0092218E">
        <w:rPr>
          <w:sz w:val="14"/>
        </w:rPr>
        <w:t>.</w:t>
      </w:r>
    </w:p>
    <w:p w:rsidR="0035211A" w:rsidRPr="0092218E" w:rsidRDefault="0035211A" w:rsidP="0054272B">
      <w:pPr>
        <w:spacing w:after="40" w:line="240" w:lineRule="auto"/>
        <w:rPr>
          <w:sz w:val="14"/>
        </w:rPr>
      </w:pPr>
      <w:r w:rsidRPr="0092218E">
        <w:rPr>
          <w:sz w:val="14"/>
        </w:rPr>
        <w:t xml:space="preserve">2. Robert W. Thurston, </w:t>
      </w:r>
      <w:r w:rsidRPr="0092218E">
        <w:rPr>
          <w:i/>
          <w:iCs/>
          <w:sz w:val="14"/>
        </w:rPr>
        <w:t xml:space="preserve">Life and Terror in Stalin’s Russia, 1934-1941 </w:t>
      </w:r>
      <w:r w:rsidRPr="0092218E">
        <w:rPr>
          <w:sz w:val="14"/>
        </w:rPr>
        <w:t>(Connecticut: Yale University Press, 1998), 47.</w:t>
      </w:r>
    </w:p>
    <w:p w:rsidR="0035211A" w:rsidRPr="0092218E" w:rsidRDefault="0035211A" w:rsidP="0054272B">
      <w:pPr>
        <w:spacing w:after="40" w:line="240" w:lineRule="auto"/>
        <w:rPr>
          <w:sz w:val="14"/>
        </w:rPr>
      </w:pPr>
      <w:r w:rsidRPr="0092218E">
        <w:rPr>
          <w:sz w:val="14"/>
        </w:rPr>
        <w:t xml:space="preserve">3. Michael Ellman, “Regional influences on the formulation and implementation of NKVD order 00447,” </w:t>
      </w:r>
      <w:r w:rsidRPr="0092218E">
        <w:rPr>
          <w:i/>
          <w:iCs/>
          <w:sz w:val="14"/>
        </w:rPr>
        <w:t>Europe-Asia Studies</w:t>
      </w:r>
      <w:r w:rsidRPr="0092218E">
        <w:rPr>
          <w:sz w:val="14"/>
        </w:rPr>
        <w:t xml:space="preserve">62, no. 6 (August 2010): 915-31, </w:t>
      </w:r>
      <w:r w:rsidRPr="0092218E">
        <w:rPr>
          <w:b/>
          <w:bCs/>
          <w:sz w:val="14"/>
          <w:u w:val="single"/>
        </w:rPr>
        <w:t>https://doi.org/10.1080/09668136.2010.489254</w:t>
      </w:r>
      <w:r w:rsidRPr="0092218E">
        <w:rPr>
          <w:sz w:val="14"/>
        </w:rPr>
        <w:t>.</w:t>
      </w:r>
    </w:p>
    <w:p w:rsidR="0035211A" w:rsidRPr="0092218E" w:rsidRDefault="0035211A" w:rsidP="0054272B">
      <w:pPr>
        <w:spacing w:after="40" w:line="240" w:lineRule="auto"/>
        <w:rPr>
          <w:sz w:val="14"/>
        </w:rPr>
      </w:pPr>
      <w:r w:rsidRPr="0092218E">
        <w:rPr>
          <w:sz w:val="14"/>
        </w:rPr>
        <w:t>4. François-Xavier, Section A.</w:t>
      </w:r>
    </w:p>
    <w:p w:rsidR="0035211A" w:rsidRPr="0092218E" w:rsidRDefault="0035211A" w:rsidP="0054272B">
      <w:pPr>
        <w:spacing w:after="40" w:line="240" w:lineRule="auto"/>
        <w:rPr>
          <w:sz w:val="14"/>
        </w:rPr>
      </w:pPr>
      <w:r w:rsidRPr="0092218E">
        <w:rPr>
          <w:sz w:val="14"/>
        </w:rPr>
        <w:t xml:space="preserve">5. For more information on show trials during the Stalinist purges, see George H. </w:t>
      </w:r>
      <w:proofErr w:type="spellStart"/>
      <w:r w:rsidRPr="0092218E">
        <w:rPr>
          <w:sz w:val="14"/>
        </w:rPr>
        <w:t>Hodos’s</w:t>
      </w:r>
      <w:proofErr w:type="spellEnd"/>
      <w:r w:rsidRPr="0092218E">
        <w:rPr>
          <w:sz w:val="14"/>
        </w:rPr>
        <w:t xml:space="preserve"> </w:t>
      </w:r>
      <w:r w:rsidRPr="0092218E">
        <w:rPr>
          <w:i/>
          <w:iCs/>
          <w:sz w:val="14"/>
        </w:rPr>
        <w:t>Show Tri</w:t>
      </w:r>
      <w:r w:rsidRPr="0092218E">
        <w:rPr>
          <w:i/>
          <w:iCs/>
          <w:sz w:val="14"/>
        </w:rPr>
        <w:softHyphen/>
        <w:t xml:space="preserve">als: Stalinist Purges in Eastern Europe, 1948-1956 </w:t>
      </w:r>
      <w:r w:rsidRPr="0092218E">
        <w:rPr>
          <w:sz w:val="14"/>
        </w:rPr>
        <w:t xml:space="preserve">and Eugenia Ginzburg’s </w:t>
      </w:r>
      <w:r w:rsidRPr="0092218E">
        <w:rPr>
          <w:i/>
          <w:iCs/>
          <w:sz w:val="14"/>
        </w:rPr>
        <w:t xml:space="preserve">Journey </w:t>
      </w:r>
      <w:proofErr w:type="gramStart"/>
      <w:r w:rsidRPr="0092218E">
        <w:rPr>
          <w:i/>
          <w:iCs/>
          <w:sz w:val="14"/>
        </w:rPr>
        <w:t>Into</w:t>
      </w:r>
      <w:proofErr w:type="gramEnd"/>
      <w:r w:rsidRPr="0092218E">
        <w:rPr>
          <w:i/>
          <w:iCs/>
          <w:sz w:val="14"/>
        </w:rPr>
        <w:t xml:space="preserve"> the Whirl</w:t>
      </w:r>
      <w:r w:rsidRPr="0092218E">
        <w:rPr>
          <w:i/>
          <w:iCs/>
          <w:sz w:val="14"/>
        </w:rPr>
        <w:softHyphen/>
        <w:t>wind</w:t>
      </w:r>
      <w:r w:rsidRPr="0092218E">
        <w:rPr>
          <w:sz w:val="14"/>
        </w:rPr>
        <w:t>.</w:t>
      </w:r>
    </w:p>
    <w:p w:rsidR="0035211A" w:rsidRPr="0092218E" w:rsidRDefault="0035211A" w:rsidP="0054272B">
      <w:pPr>
        <w:spacing w:after="40" w:line="240" w:lineRule="auto"/>
        <w:rPr>
          <w:sz w:val="14"/>
        </w:rPr>
      </w:pPr>
      <w:r w:rsidRPr="0092218E">
        <w:rPr>
          <w:sz w:val="14"/>
        </w:rPr>
        <w:t xml:space="preserve">6. Oleg V. </w:t>
      </w:r>
      <w:proofErr w:type="spellStart"/>
      <w:r w:rsidRPr="0092218E">
        <w:rPr>
          <w:sz w:val="14"/>
        </w:rPr>
        <w:t>Khlevniuk</w:t>
      </w:r>
      <w:proofErr w:type="spellEnd"/>
      <w:r w:rsidRPr="0092218E">
        <w:rPr>
          <w:sz w:val="14"/>
        </w:rPr>
        <w:t xml:space="preserve">, </w:t>
      </w:r>
      <w:r w:rsidRPr="0092218E">
        <w:rPr>
          <w:i/>
          <w:iCs/>
          <w:sz w:val="14"/>
        </w:rPr>
        <w:t xml:space="preserve">The History of the Gulag: From Collectivization to the Great Terror </w:t>
      </w:r>
      <w:r w:rsidRPr="0092218E">
        <w:rPr>
          <w:sz w:val="14"/>
        </w:rPr>
        <w:t>(Connecticut: Yale University Press, 2004), 147.</w:t>
      </w:r>
    </w:p>
    <w:p w:rsidR="0035211A" w:rsidRPr="0092218E" w:rsidRDefault="0035211A" w:rsidP="0054272B">
      <w:pPr>
        <w:spacing w:after="40" w:line="240" w:lineRule="auto"/>
        <w:rPr>
          <w:sz w:val="14"/>
        </w:rPr>
      </w:pPr>
      <w:r w:rsidRPr="0092218E">
        <w:rPr>
          <w:sz w:val="14"/>
          <w:highlight w:val="cyan"/>
        </w:rPr>
        <w:t xml:space="preserve">7. Olga </w:t>
      </w:r>
      <w:proofErr w:type="spellStart"/>
      <w:r w:rsidRPr="0092218E">
        <w:rPr>
          <w:sz w:val="14"/>
          <w:highlight w:val="cyan"/>
        </w:rPr>
        <w:t>Cherkaeva</w:t>
      </w:r>
      <w:proofErr w:type="spellEnd"/>
      <w:r w:rsidRPr="0092218E">
        <w:rPr>
          <w:sz w:val="14"/>
          <w:highlight w:val="cyan"/>
        </w:rPr>
        <w:t>, “Turning Sites of Massive Re</w:t>
      </w:r>
      <w:r w:rsidRPr="0092218E">
        <w:rPr>
          <w:sz w:val="14"/>
          <w:highlight w:val="cyan"/>
        </w:rPr>
        <w:softHyphen/>
        <w:t xml:space="preserve">pression into Memorials,” </w:t>
      </w:r>
      <w:proofErr w:type="spellStart"/>
      <w:r w:rsidRPr="0092218E">
        <w:rPr>
          <w:i/>
          <w:iCs/>
          <w:sz w:val="14"/>
          <w:highlight w:val="cyan"/>
        </w:rPr>
        <w:t>Muzeológia</w:t>
      </w:r>
      <w:proofErr w:type="spellEnd"/>
      <w:r w:rsidRPr="0092218E">
        <w:rPr>
          <w:i/>
          <w:iCs/>
          <w:sz w:val="14"/>
          <w:highlight w:val="cyan"/>
        </w:rPr>
        <w:t xml:space="preserve"> a </w:t>
      </w:r>
      <w:proofErr w:type="spellStart"/>
      <w:r w:rsidRPr="0092218E">
        <w:rPr>
          <w:i/>
          <w:iCs/>
          <w:sz w:val="14"/>
          <w:highlight w:val="cyan"/>
        </w:rPr>
        <w:t>kultúrne</w:t>
      </w:r>
      <w:proofErr w:type="spellEnd"/>
      <w:r w:rsidRPr="0092218E">
        <w:rPr>
          <w:i/>
          <w:iCs/>
          <w:sz w:val="14"/>
          <w:highlight w:val="cyan"/>
        </w:rPr>
        <w:t xml:space="preserve"> </w:t>
      </w:r>
      <w:proofErr w:type="spellStart"/>
      <w:r w:rsidRPr="0092218E">
        <w:rPr>
          <w:i/>
          <w:iCs/>
          <w:sz w:val="14"/>
          <w:highlight w:val="cyan"/>
        </w:rPr>
        <w:t>dedičstvo</w:t>
      </w:r>
      <w:proofErr w:type="spellEnd"/>
      <w:r w:rsidRPr="0092218E">
        <w:rPr>
          <w:i/>
          <w:iCs/>
          <w:sz w:val="14"/>
          <w:highlight w:val="cyan"/>
        </w:rPr>
        <w:t xml:space="preserve">, </w:t>
      </w:r>
      <w:r w:rsidRPr="0092218E">
        <w:rPr>
          <w:sz w:val="14"/>
          <w:highlight w:val="cyan"/>
        </w:rPr>
        <w:t xml:space="preserve">vol. 6, no. 1 (2018): 71. </w:t>
      </w:r>
      <w:r w:rsidRPr="0092218E">
        <w:rPr>
          <w:b/>
          <w:bCs/>
          <w:sz w:val="14"/>
          <w:highlight w:val="cyan"/>
          <w:u w:val="single"/>
        </w:rPr>
        <w:t>http://www.muzeologia.sk/index_htm_files/mkd_1_18_Cher</w:t>
      </w:r>
      <w:r w:rsidRPr="0092218E">
        <w:rPr>
          <w:b/>
          <w:bCs/>
          <w:sz w:val="14"/>
          <w:highlight w:val="cyan"/>
          <w:u w:val="single"/>
        </w:rPr>
        <w:softHyphen/>
        <w:t>kaeva.pdf</w:t>
      </w:r>
    </w:p>
    <w:p w:rsidR="0035211A" w:rsidRPr="0092218E" w:rsidRDefault="0035211A" w:rsidP="0054272B">
      <w:pPr>
        <w:spacing w:after="40" w:line="240" w:lineRule="auto"/>
        <w:rPr>
          <w:sz w:val="14"/>
        </w:rPr>
      </w:pPr>
      <w:r w:rsidRPr="0092218E">
        <w:rPr>
          <w:sz w:val="14"/>
        </w:rPr>
        <w:t>8. Carleton College, “</w:t>
      </w:r>
      <w:proofErr w:type="spellStart"/>
      <w:r w:rsidRPr="0092218E">
        <w:rPr>
          <w:sz w:val="14"/>
        </w:rPr>
        <w:t>Butovo</w:t>
      </w:r>
      <w:proofErr w:type="spellEnd"/>
      <w:r w:rsidRPr="0092218E">
        <w:rPr>
          <w:sz w:val="14"/>
        </w:rPr>
        <w:t xml:space="preserve"> Polygon,” blogs.carleton.edu, accessed June 23, 2020, </w:t>
      </w:r>
      <w:r w:rsidRPr="0092218E">
        <w:rPr>
          <w:b/>
          <w:bCs/>
          <w:sz w:val="14"/>
          <w:u w:val="single"/>
        </w:rPr>
        <w:t>http://blogs.carleton.edu/smokeofthefatherland/butovo-poly</w:t>
      </w:r>
      <w:r w:rsidRPr="0092218E">
        <w:rPr>
          <w:b/>
          <w:bCs/>
          <w:sz w:val="14"/>
          <w:u w:val="single"/>
        </w:rPr>
        <w:softHyphen/>
        <w:t>gon/</w:t>
      </w:r>
      <w:r w:rsidRPr="0092218E">
        <w:rPr>
          <w:sz w:val="14"/>
        </w:rPr>
        <w:t>.</w:t>
      </w:r>
    </w:p>
    <w:p w:rsidR="0035211A" w:rsidRPr="0092218E" w:rsidRDefault="0035211A" w:rsidP="0054272B">
      <w:pPr>
        <w:spacing w:after="40" w:line="240" w:lineRule="auto"/>
        <w:rPr>
          <w:sz w:val="14"/>
        </w:rPr>
      </w:pPr>
      <w:r w:rsidRPr="0092218E">
        <w:rPr>
          <w:sz w:val="14"/>
          <w:highlight w:val="cyan"/>
        </w:rPr>
        <w:t xml:space="preserve">9. </w:t>
      </w:r>
      <w:proofErr w:type="spellStart"/>
      <w:r w:rsidRPr="0092218E">
        <w:rPr>
          <w:sz w:val="14"/>
          <w:highlight w:val="cyan"/>
        </w:rPr>
        <w:t>Cherkaeva</w:t>
      </w:r>
      <w:proofErr w:type="spellEnd"/>
      <w:r w:rsidRPr="0092218E">
        <w:rPr>
          <w:sz w:val="14"/>
          <w:highlight w:val="cyan"/>
        </w:rPr>
        <w:t>, 72.</w:t>
      </w:r>
    </w:p>
    <w:p w:rsidR="0035211A" w:rsidRPr="0092218E" w:rsidRDefault="0035211A" w:rsidP="0054272B">
      <w:pPr>
        <w:spacing w:after="40" w:line="240" w:lineRule="auto"/>
        <w:rPr>
          <w:sz w:val="14"/>
        </w:rPr>
      </w:pPr>
      <w:r w:rsidRPr="0092218E">
        <w:rPr>
          <w:sz w:val="14"/>
          <w:highlight w:val="cyan"/>
        </w:rPr>
        <w:t>10. Ibid.</w:t>
      </w:r>
    </w:p>
    <w:p w:rsidR="0035211A" w:rsidRPr="0092218E" w:rsidRDefault="0035211A" w:rsidP="0054272B">
      <w:pPr>
        <w:spacing w:after="40" w:line="240" w:lineRule="auto"/>
        <w:rPr>
          <w:sz w:val="14"/>
        </w:rPr>
      </w:pPr>
      <w:r w:rsidRPr="0092218E">
        <w:rPr>
          <w:sz w:val="14"/>
        </w:rPr>
        <w:t xml:space="preserve">11. Karin Christensen, </w:t>
      </w:r>
      <w:r w:rsidRPr="0092218E">
        <w:rPr>
          <w:i/>
          <w:iCs/>
          <w:sz w:val="14"/>
        </w:rPr>
        <w:t xml:space="preserve">The Making of the New Martyrs of Russia: Soviet Repression in Orthodox Memory </w:t>
      </w:r>
      <w:r w:rsidRPr="0092218E">
        <w:rPr>
          <w:sz w:val="14"/>
        </w:rPr>
        <w:t>(New York: Routledge, 2018), 150.</w:t>
      </w:r>
    </w:p>
    <w:p w:rsidR="0035211A" w:rsidRPr="0092218E" w:rsidRDefault="0035211A" w:rsidP="0054272B">
      <w:pPr>
        <w:spacing w:after="40" w:line="240" w:lineRule="auto"/>
        <w:rPr>
          <w:sz w:val="14"/>
        </w:rPr>
      </w:pPr>
      <w:r w:rsidRPr="0092218E">
        <w:rPr>
          <w:sz w:val="14"/>
        </w:rPr>
        <w:t>12. “</w:t>
      </w:r>
      <w:proofErr w:type="spellStart"/>
      <w:r w:rsidRPr="0092218E">
        <w:rPr>
          <w:sz w:val="14"/>
        </w:rPr>
        <w:t>Бутовский</w:t>
      </w:r>
      <w:proofErr w:type="spellEnd"/>
      <w:r w:rsidRPr="0092218E">
        <w:rPr>
          <w:sz w:val="14"/>
        </w:rPr>
        <w:t xml:space="preserve"> </w:t>
      </w:r>
      <w:proofErr w:type="spellStart"/>
      <w:r w:rsidRPr="0092218E">
        <w:rPr>
          <w:sz w:val="14"/>
        </w:rPr>
        <w:t>полигон</w:t>
      </w:r>
      <w:proofErr w:type="spellEnd"/>
      <w:r w:rsidRPr="0092218E">
        <w:rPr>
          <w:sz w:val="14"/>
        </w:rPr>
        <w:t>--</w:t>
      </w:r>
      <w:proofErr w:type="spellStart"/>
      <w:r w:rsidRPr="0092218E">
        <w:rPr>
          <w:sz w:val="14"/>
        </w:rPr>
        <w:t>Русская</w:t>
      </w:r>
      <w:proofErr w:type="spellEnd"/>
      <w:r w:rsidRPr="0092218E">
        <w:rPr>
          <w:sz w:val="14"/>
        </w:rPr>
        <w:t xml:space="preserve"> </w:t>
      </w:r>
      <w:proofErr w:type="spellStart"/>
      <w:r w:rsidRPr="0092218E">
        <w:rPr>
          <w:sz w:val="14"/>
        </w:rPr>
        <w:t>Голгофа</w:t>
      </w:r>
      <w:proofErr w:type="spellEnd"/>
      <w:r w:rsidRPr="0092218E">
        <w:rPr>
          <w:sz w:val="14"/>
        </w:rPr>
        <w:t xml:space="preserve">,” martyr.ru, accessed June 23, 2020, </w:t>
      </w:r>
      <w:r w:rsidRPr="0092218E">
        <w:rPr>
          <w:b/>
          <w:bCs/>
          <w:sz w:val="14"/>
          <w:u w:val="single"/>
        </w:rPr>
        <w:t>https://martyr.ru/</w:t>
      </w:r>
      <w:r w:rsidRPr="0092218E">
        <w:rPr>
          <w:sz w:val="14"/>
        </w:rPr>
        <w:t>.</w:t>
      </w:r>
    </w:p>
    <w:p w:rsidR="0035211A" w:rsidRPr="0092218E" w:rsidRDefault="0035211A" w:rsidP="0054272B">
      <w:pPr>
        <w:spacing w:after="40" w:line="240" w:lineRule="auto"/>
        <w:rPr>
          <w:sz w:val="14"/>
        </w:rPr>
      </w:pPr>
      <w:r w:rsidRPr="0092218E">
        <w:rPr>
          <w:sz w:val="14"/>
        </w:rPr>
        <w:t>13. Christensen, 146.</w:t>
      </w:r>
    </w:p>
    <w:p w:rsidR="0035211A" w:rsidRPr="0092218E" w:rsidRDefault="0035211A" w:rsidP="0054272B">
      <w:pPr>
        <w:spacing w:after="40" w:line="240" w:lineRule="auto"/>
        <w:rPr>
          <w:sz w:val="14"/>
        </w:rPr>
      </w:pPr>
      <w:r w:rsidRPr="0092218E">
        <w:rPr>
          <w:sz w:val="14"/>
        </w:rPr>
        <w:t>14. Ibid.</w:t>
      </w:r>
    </w:p>
    <w:p w:rsidR="0035211A" w:rsidRPr="0092218E" w:rsidRDefault="0035211A" w:rsidP="0054272B">
      <w:pPr>
        <w:spacing w:after="40" w:line="240" w:lineRule="auto"/>
        <w:rPr>
          <w:sz w:val="14"/>
        </w:rPr>
      </w:pPr>
      <w:r w:rsidRPr="0092218E">
        <w:rPr>
          <w:sz w:val="14"/>
        </w:rPr>
        <w:t>15. Ibid.</w:t>
      </w:r>
    </w:p>
    <w:p w:rsidR="0035211A" w:rsidRPr="0092218E" w:rsidRDefault="0035211A" w:rsidP="0054272B">
      <w:pPr>
        <w:spacing w:after="40" w:line="240" w:lineRule="auto"/>
        <w:rPr>
          <w:sz w:val="14"/>
        </w:rPr>
      </w:pPr>
      <w:r w:rsidRPr="0092218E">
        <w:rPr>
          <w:sz w:val="14"/>
        </w:rPr>
        <w:t xml:space="preserve">16. </w:t>
      </w:r>
      <w:proofErr w:type="spellStart"/>
      <w:r w:rsidRPr="0092218E">
        <w:rPr>
          <w:sz w:val="14"/>
        </w:rPr>
        <w:t>Cherkaeva</w:t>
      </w:r>
      <w:proofErr w:type="spellEnd"/>
      <w:r w:rsidRPr="0092218E">
        <w:rPr>
          <w:sz w:val="14"/>
        </w:rPr>
        <w:t>, 73</w:t>
      </w:r>
    </w:p>
    <w:p w:rsidR="0035211A" w:rsidRPr="0092218E" w:rsidRDefault="0035211A" w:rsidP="0054272B">
      <w:pPr>
        <w:spacing w:after="40" w:line="240" w:lineRule="auto"/>
        <w:rPr>
          <w:sz w:val="14"/>
        </w:rPr>
      </w:pPr>
      <w:r w:rsidRPr="0092218E">
        <w:rPr>
          <w:sz w:val="14"/>
        </w:rPr>
        <w:t>17. Ibid., 73–4.</w:t>
      </w:r>
    </w:p>
    <w:p w:rsidR="0035211A" w:rsidRPr="0092218E" w:rsidRDefault="0035211A" w:rsidP="0054272B">
      <w:pPr>
        <w:spacing w:after="40" w:line="240" w:lineRule="auto"/>
        <w:rPr>
          <w:sz w:val="14"/>
        </w:rPr>
      </w:pPr>
      <w:r w:rsidRPr="0092218E">
        <w:rPr>
          <w:sz w:val="14"/>
        </w:rPr>
        <w:t>18. Ibid., 71.</w:t>
      </w:r>
    </w:p>
    <w:p w:rsidR="0035211A" w:rsidRPr="0092218E" w:rsidRDefault="0035211A" w:rsidP="0054272B">
      <w:pPr>
        <w:spacing w:after="40" w:line="240" w:lineRule="auto"/>
        <w:rPr>
          <w:sz w:val="14"/>
        </w:rPr>
      </w:pPr>
      <w:r w:rsidRPr="0092218E">
        <w:rPr>
          <w:sz w:val="14"/>
        </w:rPr>
        <w:t>19. Christensen, 151.</w:t>
      </w:r>
    </w:p>
    <w:p w:rsidR="0035211A" w:rsidRPr="0092218E" w:rsidRDefault="0035211A" w:rsidP="0054272B">
      <w:pPr>
        <w:spacing w:after="40" w:line="240" w:lineRule="auto"/>
        <w:rPr>
          <w:sz w:val="14"/>
        </w:rPr>
      </w:pPr>
      <w:r w:rsidRPr="0092218E">
        <w:rPr>
          <w:sz w:val="14"/>
        </w:rPr>
        <w:t xml:space="preserve">20. BBC Monitoring, “Service helps heal Russian Orthodox rift,” </w:t>
      </w:r>
      <w:r w:rsidRPr="0092218E">
        <w:rPr>
          <w:i/>
          <w:iCs/>
          <w:sz w:val="14"/>
        </w:rPr>
        <w:t xml:space="preserve">BBC News </w:t>
      </w:r>
      <w:r w:rsidRPr="0092218E">
        <w:rPr>
          <w:sz w:val="14"/>
        </w:rPr>
        <w:t xml:space="preserve">online, May 15, 2004, </w:t>
      </w:r>
      <w:r w:rsidRPr="0092218E">
        <w:rPr>
          <w:b/>
          <w:bCs/>
          <w:sz w:val="14"/>
          <w:u w:val="single"/>
        </w:rPr>
        <w:t>http://news.bbc.co.uk/2/hi/europe/3717739.stm</w:t>
      </w:r>
      <w:r w:rsidRPr="0092218E">
        <w:rPr>
          <w:sz w:val="14"/>
        </w:rPr>
        <w:t>.</w:t>
      </w:r>
    </w:p>
    <w:p w:rsidR="0035211A" w:rsidRPr="0092218E" w:rsidRDefault="0035211A" w:rsidP="0054272B">
      <w:pPr>
        <w:spacing w:after="40" w:line="240" w:lineRule="auto"/>
        <w:rPr>
          <w:sz w:val="14"/>
        </w:rPr>
      </w:pPr>
      <w:r w:rsidRPr="0092218E">
        <w:rPr>
          <w:sz w:val="14"/>
        </w:rPr>
        <w:t>21. See Figure 4 for photo example.</w:t>
      </w:r>
    </w:p>
    <w:p w:rsidR="0035211A" w:rsidRPr="0092218E" w:rsidRDefault="0035211A" w:rsidP="0054272B">
      <w:pPr>
        <w:spacing w:after="40" w:line="240" w:lineRule="auto"/>
        <w:rPr>
          <w:sz w:val="14"/>
        </w:rPr>
      </w:pPr>
      <w:r w:rsidRPr="0092218E">
        <w:rPr>
          <w:sz w:val="14"/>
        </w:rPr>
        <w:t xml:space="preserve">22. Krzysztof Sala and Trine </w:t>
      </w:r>
      <w:proofErr w:type="spellStart"/>
      <w:r w:rsidRPr="0092218E">
        <w:rPr>
          <w:sz w:val="14"/>
        </w:rPr>
        <w:t>Stauning</w:t>
      </w:r>
      <w:proofErr w:type="spellEnd"/>
      <w:r w:rsidRPr="0092218E">
        <w:rPr>
          <w:sz w:val="14"/>
        </w:rPr>
        <w:t xml:space="preserve"> </w:t>
      </w:r>
      <w:proofErr w:type="spellStart"/>
      <w:r w:rsidRPr="0092218E">
        <w:rPr>
          <w:sz w:val="14"/>
        </w:rPr>
        <w:t>Willert</w:t>
      </w:r>
      <w:proofErr w:type="spellEnd"/>
      <w:r w:rsidRPr="0092218E">
        <w:rPr>
          <w:sz w:val="14"/>
        </w:rPr>
        <w:t xml:space="preserve">, </w:t>
      </w:r>
      <w:r w:rsidRPr="0092218E">
        <w:rPr>
          <w:i/>
          <w:iCs/>
          <w:sz w:val="14"/>
        </w:rPr>
        <w:t>Rethink</w:t>
      </w:r>
      <w:r w:rsidRPr="0092218E">
        <w:rPr>
          <w:i/>
          <w:iCs/>
          <w:sz w:val="14"/>
        </w:rPr>
        <w:softHyphen/>
        <w:t xml:space="preserve">ing the Space for Religion: New Actors in Central and Southeast Europe on Religion, Authenticity and Belonging </w:t>
      </w:r>
      <w:r w:rsidRPr="0092218E">
        <w:rPr>
          <w:sz w:val="14"/>
        </w:rPr>
        <w:t>(Lund, Sweden: Nordic Academic Press, 2012), 217.</w:t>
      </w:r>
    </w:p>
    <w:p w:rsidR="0035211A" w:rsidRPr="0092218E" w:rsidRDefault="0035211A" w:rsidP="0054272B">
      <w:pPr>
        <w:spacing w:after="40" w:line="240" w:lineRule="auto"/>
        <w:rPr>
          <w:sz w:val="14"/>
        </w:rPr>
      </w:pPr>
      <w:r w:rsidRPr="0092218E">
        <w:rPr>
          <w:sz w:val="14"/>
        </w:rPr>
        <w:t xml:space="preserve">23. Veronika Dorman, “From the </w:t>
      </w:r>
      <w:proofErr w:type="spellStart"/>
      <w:r w:rsidRPr="0092218E">
        <w:rPr>
          <w:sz w:val="14"/>
        </w:rPr>
        <w:t>Solovki</w:t>
      </w:r>
      <w:proofErr w:type="spellEnd"/>
      <w:r w:rsidRPr="0092218E">
        <w:rPr>
          <w:sz w:val="14"/>
        </w:rPr>
        <w:t xml:space="preserve"> to </w:t>
      </w:r>
      <w:proofErr w:type="spellStart"/>
      <w:r w:rsidRPr="0092218E">
        <w:rPr>
          <w:sz w:val="14"/>
        </w:rPr>
        <w:t>Butovo</w:t>
      </w:r>
      <w:proofErr w:type="spellEnd"/>
      <w:r w:rsidRPr="0092218E">
        <w:rPr>
          <w:sz w:val="14"/>
        </w:rPr>
        <w:t xml:space="preserve">: How the Russian Orthodox Church Appropriates the Memory of the Repressions,” </w:t>
      </w:r>
      <w:proofErr w:type="spellStart"/>
      <w:r w:rsidRPr="0092218E">
        <w:rPr>
          <w:i/>
          <w:iCs/>
          <w:sz w:val="14"/>
        </w:rPr>
        <w:t>Labaratorium</w:t>
      </w:r>
      <w:proofErr w:type="spellEnd"/>
      <w:r w:rsidRPr="0092218E">
        <w:rPr>
          <w:i/>
          <w:iCs/>
          <w:sz w:val="14"/>
        </w:rPr>
        <w:t xml:space="preserve"> </w:t>
      </w:r>
      <w:r w:rsidRPr="0092218E">
        <w:rPr>
          <w:sz w:val="14"/>
        </w:rPr>
        <w:t xml:space="preserve">vol. 2, no. 3 (2010): 434, </w:t>
      </w:r>
      <w:r w:rsidRPr="0092218E">
        <w:rPr>
          <w:b/>
          <w:bCs/>
          <w:sz w:val="14"/>
          <w:u w:val="single"/>
        </w:rPr>
        <w:t>http://ecsocman.hse.ru/data/2010/10/21/1214790963/17_eng.pdf</w:t>
      </w:r>
      <w:r w:rsidRPr="0092218E">
        <w:rPr>
          <w:sz w:val="14"/>
        </w:rPr>
        <w:t>.</w:t>
      </w:r>
    </w:p>
    <w:p w:rsidR="0035211A" w:rsidRPr="0092218E" w:rsidRDefault="0035211A" w:rsidP="0054272B">
      <w:pPr>
        <w:spacing w:after="40" w:line="240" w:lineRule="auto"/>
        <w:rPr>
          <w:sz w:val="14"/>
        </w:rPr>
      </w:pPr>
      <w:r w:rsidRPr="0092218E">
        <w:rPr>
          <w:sz w:val="14"/>
        </w:rPr>
        <w:t xml:space="preserve">24. Steven Lee Meyers, “Moscow Journal; Father of K.G.B. Might Return to Headquarters,” </w:t>
      </w:r>
      <w:r w:rsidRPr="0092218E">
        <w:rPr>
          <w:i/>
          <w:iCs/>
          <w:sz w:val="14"/>
        </w:rPr>
        <w:t>The New York Times</w:t>
      </w:r>
      <w:r w:rsidRPr="0092218E">
        <w:rPr>
          <w:sz w:val="14"/>
        </w:rPr>
        <w:t xml:space="preserve">, September 17, 2002, </w:t>
      </w:r>
      <w:r w:rsidRPr="0092218E">
        <w:rPr>
          <w:b/>
          <w:bCs/>
          <w:sz w:val="14"/>
          <w:u w:val="single"/>
        </w:rPr>
        <w:t>https://www.ny</w:t>
      </w:r>
      <w:r w:rsidRPr="0092218E">
        <w:rPr>
          <w:b/>
          <w:bCs/>
          <w:sz w:val="14"/>
          <w:u w:val="single"/>
        </w:rPr>
        <w:softHyphen/>
        <w:t>times.com/2002/09/17/world/moscow-journal-fa</w:t>
      </w:r>
      <w:r w:rsidRPr="0092218E">
        <w:rPr>
          <w:b/>
          <w:bCs/>
          <w:sz w:val="14"/>
          <w:u w:val="single"/>
        </w:rPr>
        <w:softHyphen/>
        <w:t>ther-of-kgb-might-return-to-headquarters.html</w:t>
      </w:r>
      <w:r w:rsidRPr="0092218E">
        <w:rPr>
          <w:sz w:val="14"/>
        </w:rPr>
        <w:t>.</w:t>
      </w:r>
    </w:p>
    <w:p w:rsidR="0035211A" w:rsidRPr="0092218E" w:rsidRDefault="0035211A" w:rsidP="0054272B">
      <w:pPr>
        <w:spacing w:after="40" w:line="240" w:lineRule="auto"/>
        <w:rPr>
          <w:sz w:val="14"/>
        </w:rPr>
      </w:pPr>
      <w:r w:rsidRPr="0092218E">
        <w:rPr>
          <w:sz w:val="14"/>
        </w:rPr>
        <w:t>25. Christensen, 150.</w:t>
      </w:r>
    </w:p>
    <w:p w:rsidR="0035211A" w:rsidRPr="0092218E" w:rsidRDefault="0035211A" w:rsidP="0054272B">
      <w:pPr>
        <w:spacing w:after="40" w:line="240" w:lineRule="auto"/>
        <w:rPr>
          <w:sz w:val="14"/>
        </w:rPr>
      </w:pPr>
      <w:r w:rsidRPr="0092218E">
        <w:rPr>
          <w:sz w:val="14"/>
        </w:rPr>
        <w:t>26. Ibid., 156.</w:t>
      </w:r>
    </w:p>
    <w:p w:rsidR="0035211A" w:rsidRPr="0092218E" w:rsidRDefault="0035211A" w:rsidP="0054272B">
      <w:pPr>
        <w:spacing w:after="40" w:line="240" w:lineRule="auto"/>
        <w:rPr>
          <w:sz w:val="14"/>
        </w:rPr>
      </w:pPr>
      <w:r w:rsidRPr="0092218E">
        <w:rPr>
          <w:sz w:val="14"/>
        </w:rPr>
        <w:t>27. Dorman, 432-3.</w:t>
      </w:r>
    </w:p>
    <w:p w:rsidR="0054272B" w:rsidRPr="0092218E" w:rsidRDefault="0035211A" w:rsidP="0054272B">
      <w:pPr>
        <w:spacing w:after="40" w:line="240" w:lineRule="auto"/>
        <w:rPr>
          <w:sz w:val="16"/>
        </w:rPr>
        <w:sectPr w:rsidR="0054272B" w:rsidRPr="0092218E" w:rsidSect="0054272B">
          <w:type w:val="continuous"/>
          <w:pgSz w:w="12240" w:h="15840"/>
          <w:pgMar w:top="1440" w:right="1440" w:bottom="1440" w:left="1440" w:header="720" w:footer="720" w:gutter="0"/>
          <w:cols w:num="2" w:space="720"/>
          <w:docGrid w:linePitch="360"/>
        </w:sectPr>
      </w:pPr>
      <w:r w:rsidRPr="0092218E">
        <w:rPr>
          <w:sz w:val="14"/>
        </w:rPr>
        <w:t>28. Ibid., 43</w:t>
      </w:r>
    </w:p>
    <w:p w:rsidR="00934256" w:rsidRDefault="00881AEC" w:rsidP="00881AEC">
      <w:pPr>
        <w:rPr>
          <w:i/>
          <w:iCs/>
        </w:rPr>
      </w:pPr>
      <w:r w:rsidRPr="00881AEC">
        <w:rPr>
          <w:i/>
          <w:iCs/>
        </w:rPr>
        <w:lastRenderedPageBreak/>
        <w:t xml:space="preserve"> </w:t>
      </w:r>
      <w:r w:rsidR="005750D2">
        <w:t>Article Word Count: 1,634 words</w:t>
      </w:r>
    </w:p>
    <w:tbl>
      <w:tblPr>
        <w:tblStyle w:val="TableGrid"/>
        <w:tblW w:w="0" w:type="auto"/>
        <w:tblLook w:val="04A0" w:firstRow="1" w:lastRow="0" w:firstColumn="1" w:lastColumn="0" w:noHBand="0" w:noVBand="1"/>
      </w:tblPr>
      <w:tblGrid>
        <w:gridCol w:w="2425"/>
        <w:gridCol w:w="6925"/>
      </w:tblGrid>
      <w:tr w:rsidR="00934256" w:rsidTr="0085257E">
        <w:tc>
          <w:tcPr>
            <w:tcW w:w="2425" w:type="dxa"/>
          </w:tcPr>
          <w:p w:rsidR="00934256" w:rsidRPr="0085257E" w:rsidRDefault="00934256" w:rsidP="00934256">
            <w:pPr>
              <w:rPr>
                <w:b/>
              </w:rPr>
            </w:pPr>
            <w:r w:rsidRPr="0085257E">
              <w:rPr>
                <w:b/>
              </w:rPr>
              <w:t>Article Title:</w:t>
            </w:r>
          </w:p>
        </w:tc>
        <w:tc>
          <w:tcPr>
            <w:tcW w:w="6925" w:type="dxa"/>
          </w:tcPr>
          <w:p w:rsidR="00934256" w:rsidRDefault="00525FAB" w:rsidP="00934256">
            <w:r>
              <w:t xml:space="preserve">Particle Detector for Low-Energy Heavy Ions </w:t>
            </w:r>
            <w:r>
              <w:rPr>
                <w:highlight w:val="yellow"/>
              </w:rPr>
              <w:t>(6 words)</w:t>
            </w:r>
          </w:p>
        </w:tc>
      </w:tr>
      <w:tr w:rsidR="00934256" w:rsidTr="0085257E">
        <w:tc>
          <w:tcPr>
            <w:tcW w:w="2425" w:type="dxa"/>
          </w:tcPr>
          <w:p w:rsidR="00934256" w:rsidRPr="0085257E" w:rsidRDefault="00934256" w:rsidP="00934256">
            <w:pPr>
              <w:rPr>
                <w:b/>
              </w:rPr>
            </w:pPr>
            <w:r w:rsidRPr="0085257E">
              <w:rPr>
                <w:b/>
              </w:rPr>
              <w:t>Author:</w:t>
            </w:r>
          </w:p>
        </w:tc>
        <w:tc>
          <w:tcPr>
            <w:tcW w:w="6925" w:type="dxa"/>
          </w:tcPr>
          <w:p w:rsidR="00934256" w:rsidRDefault="00525FAB" w:rsidP="00934256">
            <w:r>
              <w:t>By Karthik S. Rao ‘21</w:t>
            </w:r>
          </w:p>
        </w:tc>
      </w:tr>
      <w:tr w:rsidR="00934256" w:rsidTr="0085257E">
        <w:tc>
          <w:tcPr>
            <w:tcW w:w="2425" w:type="dxa"/>
          </w:tcPr>
          <w:p w:rsidR="00934256" w:rsidRPr="0085257E" w:rsidRDefault="00934256" w:rsidP="00934256">
            <w:pPr>
              <w:rPr>
                <w:b/>
              </w:rPr>
            </w:pPr>
            <w:r w:rsidRPr="0085257E">
              <w:rPr>
                <w:b/>
              </w:rPr>
              <w:t>Article Teaser:</w:t>
            </w:r>
          </w:p>
        </w:tc>
        <w:tc>
          <w:tcPr>
            <w:tcW w:w="6925" w:type="dxa"/>
          </w:tcPr>
          <w:p w:rsidR="00934256" w:rsidRDefault="00525FAB" w:rsidP="00934256">
            <w:r>
              <w:t xml:space="preserve">Uncovering the mysteries of the universe through particle detection and analysis. </w:t>
            </w:r>
            <w:r>
              <w:rPr>
                <w:highlight w:val="yellow"/>
              </w:rPr>
              <w:t>(11 words)</w:t>
            </w:r>
          </w:p>
        </w:tc>
      </w:tr>
      <w:tr w:rsidR="00934256" w:rsidTr="0085257E">
        <w:tc>
          <w:tcPr>
            <w:tcW w:w="2425" w:type="dxa"/>
          </w:tcPr>
          <w:p w:rsidR="00934256" w:rsidRPr="0085257E" w:rsidRDefault="00934256" w:rsidP="00934256">
            <w:pPr>
              <w:rPr>
                <w:b/>
              </w:rPr>
            </w:pPr>
            <w:r w:rsidRPr="0085257E">
              <w:rPr>
                <w:b/>
              </w:rPr>
              <w:t>Author Biography:</w:t>
            </w:r>
          </w:p>
        </w:tc>
        <w:tc>
          <w:tcPr>
            <w:tcW w:w="6925" w:type="dxa"/>
          </w:tcPr>
          <w:p w:rsidR="00934256" w:rsidRDefault="00525FAB" w:rsidP="00934256">
            <w:r w:rsidRPr="00D452FC">
              <w:t>Karthik Rao '21 is a physics and computer science double major with minors in mathematics and cybersecurity from Mumbai, India. Karthik has performed undergraduate research since his freshman year, working on various topics ranging from molecular gyroscopes to particle detectors. After graduating, Karthik hopes to attend graduate school to pursue a Ph.D. in physics.</w:t>
            </w:r>
            <w:r>
              <w:t xml:space="preserve"> </w:t>
            </w:r>
            <w:r>
              <w:rPr>
                <w:highlight w:val="yellow"/>
              </w:rPr>
              <w:t>(54 words)</w:t>
            </w:r>
          </w:p>
        </w:tc>
      </w:tr>
      <w:tr w:rsidR="00934256" w:rsidTr="0085257E">
        <w:tc>
          <w:tcPr>
            <w:tcW w:w="2425" w:type="dxa"/>
          </w:tcPr>
          <w:p w:rsidR="00934256" w:rsidRPr="0085257E" w:rsidRDefault="00934256" w:rsidP="00934256">
            <w:pPr>
              <w:rPr>
                <w:b/>
              </w:rPr>
            </w:pPr>
            <w:r w:rsidRPr="0085257E">
              <w:rPr>
                <w:b/>
              </w:rPr>
              <w:t>Pull Quote:</w:t>
            </w:r>
          </w:p>
        </w:tc>
        <w:tc>
          <w:tcPr>
            <w:tcW w:w="6925" w:type="dxa"/>
          </w:tcPr>
          <w:p w:rsidR="00934256" w:rsidRDefault="00525FAB" w:rsidP="00934256">
            <w:r w:rsidRPr="006D3917">
              <w:t>Determining the rates of nuclear reactions that contribute to these processes constitutes a major part of nuclear astrophysics.</w:t>
            </w:r>
            <w:r>
              <w:t xml:space="preserve"> </w:t>
            </w:r>
            <w:r>
              <w:rPr>
                <w:highlight w:val="yellow"/>
              </w:rPr>
              <w:t>(18 words)</w:t>
            </w:r>
          </w:p>
        </w:tc>
      </w:tr>
      <w:tr w:rsidR="00934256" w:rsidTr="0085257E">
        <w:tc>
          <w:tcPr>
            <w:tcW w:w="2425" w:type="dxa"/>
          </w:tcPr>
          <w:p w:rsidR="00934256" w:rsidRPr="0085257E" w:rsidRDefault="00934256" w:rsidP="00934256">
            <w:pPr>
              <w:rPr>
                <w:b/>
              </w:rPr>
            </w:pPr>
            <w:r w:rsidRPr="0085257E">
              <w:rPr>
                <w:b/>
              </w:rPr>
              <w:t>Pull Quote:</w:t>
            </w:r>
          </w:p>
        </w:tc>
        <w:tc>
          <w:tcPr>
            <w:tcW w:w="6925" w:type="dxa"/>
          </w:tcPr>
          <w:p w:rsidR="00934256" w:rsidRDefault="00525FAB" w:rsidP="00934256">
            <w:r w:rsidRPr="006D3917">
              <w:t>Theoretically, this detector possesses high 2</w:t>
            </w:r>
            <w:r>
              <w:t>D</w:t>
            </w:r>
            <w:r w:rsidRPr="006D3917">
              <w:t xml:space="preserve"> position resolution and the ability to detect low-energy heavy ions...</w:t>
            </w:r>
            <w:r>
              <w:t xml:space="preserve"> </w:t>
            </w:r>
            <w:r>
              <w:rPr>
                <w:highlight w:val="yellow"/>
              </w:rPr>
              <w:t>(16 words)</w:t>
            </w:r>
          </w:p>
        </w:tc>
      </w:tr>
      <w:tr w:rsidR="00934256" w:rsidTr="0085257E">
        <w:tc>
          <w:tcPr>
            <w:tcW w:w="2425" w:type="dxa"/>
          </w:tcPr>
          <w:p w:rsidR="00934256" w:rsidRPr="0085257E" w:rsidRDefault="00934256" w:rsidP="00934256">
            <w:pPr>
              <w:rPr>
                <w:b/>
              </w:rPr>
            </w:pPr>
            <w:r w:rsidRPr="0085257E">
              <w:rPr>
                <w:b/>
              </w:rPr>
              <w:t>Pull Quote:</w:t>
            </w:r>
          </w:p>
        </w:tc>
        <w:tc>
          <w:tcPr>
            <w:tcW w:w="6925" w:type="dxa"/>
          </w:tcPr>
          <w:p w:rsidR="00934256" w:rsidRDefault="00525FAB" w:rsidP="00934256">
            <w:r>
              <w:t xml:space="preserve">These experiments will give us further understanding into the origin of elements after the big bang. </w:t>
            </w:r>
            <w:r>
              <w:rPr>
                <w:highlight w:val="yellow"/>
              </w:rPr>
              <w:t>(16 words)</w:t>
            </w:r>
          </w:p>
        </w:tc>
      </w:tr>
    </w:tbl>
    <w:p w:rsidR="00423539" w:rsidRDefault="00423539">
      <w:r>
        <w:br w:type="page"/>
      </w:r>
    </w:p>
    <w:p w:rsidR="009D451F" w:rsidRDefault="005750D2" w:rsidP="00423539">
      <w:r>
        <w:lastRenderedPageBreak/>
        <w:t>Article Word Count: 350 words</w:t>
      </w:r>
    </w:p>
    <w:tbl>
      <w:tblPr>
        <w:tblStyle w:val="TableGrid"/>
        <w:tblW w:w="0" w:type="auto"/>
        <w:tblLook w:val="04A0" w:firstRow="1" w:lastRow="0" w:firstColumn="1" w:lastColumn="0" w:noHBand="0" w:noVBand="1"/>
      </w:tblPr>
      <w:tblGrid>
        <w:gridCol w:w="2155"/>
        <w:gridCol w:w="7195"/>
      </w:tblGrid>
      <w:tr w:rsidR="009D451F" w:rsidTr="00525FAB">
        <w:tc>
          <w:tcPr>
            <w:tcW w:w="2155" w:type="dxa"/>
          </w:tcPr>
          <w:p w:rsidR="009D451F" w:rsidRPr="0085257E" w:rsidRDefault="009D451F" w:rsidP="00934256">
            <w:pPr>
              <w:rPr>
                <w:b/>
              </w:rPr>
            </w:pPr>
            <w:r w:rsidRPr="0085257E">
              <w:rPr>
                <w:b/>
              </w:rPr>
              <w:t>Article Title:</w:t>
            </w:r>
          </w:p>
        </w:tc>
        <w:tc>
          <w:tcPr>
            <w:tcW w:w="7195" w:type="dxa"/>
          </w:tcPr>
          <w:p w:rsidR="009D451F" w:rsidRDefault="00525FAB" w:rsidP="00934256">
            <w:r>
              <w:t xml:space="preserve">The Populated Dreamworld </w:t>
            </w:r>
            <w:r>
              <w:rPr>
                <w:highlight w:val="yellow"/>
              </w:rPr>
              <w:t>(3 words)</w:t>
            </w:r>
          </w:p>
        </w:tc>
      </w:tr>
      <w:tr w:rsidR="009D451F" w:rsidTr="00525FAB">
        <w:tc>
          <w:tcPr>
            <w:tcW w:w="2155" w:type="dxa"/>
          </w:tcPr>
          <w:p w:rsidR="009D451F" w:rsidRPr="0085257E" w:rsidRDefault="009D451F" w:rsidP="00934256">
            <w:pPr>
              <w:rPr>
                <w:b/>
              </w:rPr>
            </w:pPr>
            <w:r w:rsidRPr="0085257E">
              <w:rPr>
                <w:b/>
              </w:rPr>
              <w:t>Author:</w:t>
            </w:r>
          </w:p>
        </w:tc>
        <w:tc>
          <w:tcPr>
            <w:tcW w:w="7195" w:type="dxa"/>
          </w:tcPr>
          <w:p w:rsidR="009D451F" w:rsidRDefault="00525FAB" w:rsidP="00934256">
            <w:r>
              <w:t>By Francisco Anaya ‘21</w:t>
            </w:r>
          </w:p>
        </w:tc>
      </w:tr>
      <w:tr w:rsidR="009D451F" w:rsidTr="00525FAB">
        <w:tc>
          <w:tcPr>
            <w:tcW w:w="2155" w:type="dxa"/>
          </w:tcPr>
          <w:p w:rsidR="009D451F" w:rsidRPr="0085257E" w:rsidRDefault="009D451F" w:rsidP="00934256">
            <w:pPr>
              <w:rPr>
                <w:b/>
              </w:rPr>
            </w:pPr>
            <w:r w:rsidRPr="0085257E">
              <w:rPr>
                <w:b/>
              </w:rPr>
              <w:t>Article Teaser:</w:t>
            </w:r>
          </w:p>
        </w:tc>
        <w:tc>
          <w:tcPr>
            <w:tcW w:w="7195" w:type="dxa"/>
          </w:tcPr>
          <w:p w:rsidR="009D451F" w:rsidRPr="0085257E" w:rsidRDefault="00525FAB" w:rsidP="00934256">
            <w:pPr>
              <w:rPr>
                <w:highlight w:val="yellow"/>
              </w:rPr>
            </w:pPr>
            <w:r>
              <w:t xml:space="preserve">A digital depiction of a populated architectural drawing through the usage of the entourage in architecture. </w:t>
            </w:r>
            <w:r>
              <w:rPr>
                <w:highlight w:val="yellow"/>
              </w:rPr>
              <w:t>(16 words)</w:t>
            </w:r>
          </w:p>
        </w:tc>
      </w:tr>
      <w:tr w:rsidR="009D451F" w:rsidTr="00525FAB">
        <w:tc>
          <w:tcPr>
            <w:tcW w:w="2155" w:type="dxa"/>
          </w:tcPr>
          <w:p w:rsidR="009D451F" w:rsidRPr="0085257E" w:rsidRDefault="009D451F" w:rsidP="00934256">
            <w:pPr>
              <w:rPr>
                <w:b/>
              </w:rPr>
            </w:pPr>
            <w:r w:rsidRPr="0085257E">
              <w:rPr>
                <w:b/>
              </w:rPr>
              <w:t>Author Biography:</w:t>
            </w:r>
          </w:p>
        </w:tc>
        <w:tc>
          <w:tcPr>
            <w:tcW w:w="7195" w:type="dxa"/>
          </w:tcPr>
          <w:p w:rsidR="009D451F" w:rsidRPr="0085257E" w:rsidRDefault="00525FAB" w:rsidP="00934256">
            <w:pPr>
              <w:rPr>
                <w:highlight w:val="yellow"/>
              </w:rPr>
            </w:pPr>
            <w:r w:rsidRPr="00BD38CE">
              <w:t>Francisco Anaya '21 is an Environmental design major with a minor in Digital fabrication and product design from Houston, Texas. Francisco attended Energy Institute High School 2013-2017 before attending Texas A&amp;M</w:t>
            </w:r>
            <w:r>
              <w:t xml:space="preserve"> University</w:t>
            </w:r>
            <w:r w:rsidRPr="00BD38CE">
              <w:t>. The research motivation stems from an interest in architectural drawings and attempting to produce something out of the norm while exploring the agency behind the architectural entourage. Francisco plans to attend graduate school for a master's in architecture after receiving his undergraduate degree.</w:t>
            </w:r>
            <w:r>
              <w:t xml:space="preserve"> </w:t>
            </w:r>
            <w:r>
              <w:rPr>
                <w:highlight w:val="yellow"/>
              </w:rPr>
              <w:t>(75 words)</w:t>
            </w:r>
          </w:p>
        </w:tc>
      </w:tr>
    </w:tbl>
    <w:p w:rsidR="009D451F" w:rsidRDefault="009D451F" w:rsidP="00423539"/>
    <w:p w:rsidR="009E2A13" w:rsidRPr="00A8539F" w:rsidRDefault="009E2A13" w:rsidP="009E2A13">
      <w:pPr>
        <w:rPr>
          <w:b/>
        </w:rPr>
      </w:pPr>
      <w:r w:rsidRPr="00A8539F">
        <w:rPr>
          <w:b/>
        </w:rPr>
        <w:t>Volume 12 Averages</w:t>
      </w:r>
    </w:p>
    <w:p w:rsidR="009E2A13" w:rsidRDefault="009E2A13" w:rsidP="009E2A13">
      <w:pPr>
        <w:pStyle w:val="Heading3"/>
      </w:pPr>
      <w:r>
        <w:t>Articles</w:t>
      </w:r>
    </w:p>
    <w:p w:rsidR="009E2A13" w:rsidRPr="005750D2" w:rsidRDefault="009E2A13" w:rsidP="009E2A13">
      <w:r>
        <w:t>1,634-2,620 words</w:t>
      </w:r>
    </w:p>
    <w:p w:rsidR="009E2A13" w:rsidRDefault="009E2A13" w:rsidP="009E2A13">
      <w:pPr>
        <w:pStyle w:val="Heading3"/>
      </w:pPr>
      <w:r>
        <w:t>Article Titles</w:t>
      </w:r>
    </w:p>
    <w:p w:rsidR="009E2A13" w:rsidRPr="005750D2" w:rsidRDefault="009E2A13" w:rsidP="009E2A13">
      <w:r>
        <w:t>3-22 words</w:t>
      </w:r>
    </w:p>
    <w:p w:rsidR="009E2A13" w:rsidRDefault="009E2A13" w:rsidP="009E2A13">
      <w:pPr>
        <w:pStyle w:val="Heading3"/>
      </w:pPr>
      <w:r>
        <w:t>Article Teasers</w:t>
      </w:r>
    </w:p>
    <w:p w:rsidR="009E2A13" w:rsidRPr="005750D2" w:rsidRDefault="009E2A13" w:rsidP="009E2A13">
      <w:r>
        <w:t>11-26 words</w:t>
      </w:r>
    </w:p>
    <w:p w:rsidR="009E2A13" w:rsidRDefault="009E2A13" w:rsidP="009E2A13">
      <w:pPr>
        <w:pStyle w:val="Heading3"/>
      </w:pPr>
      <w:r>
        <w:t>Author Biographies</w:t>
      </w:r>
    </w:p>
    <w:p w:rsidR="009E2A13" w:rsidRPr="005750D2" w:rsidRDefault="009E2A13" w:rsidP="009E2A13">
      <w:r>
        <w:t>43-82 words</w:t>
      </w:r>
    </w:p>
    <w:p w:rsidR="009E2A13" w:rsidRDefault="009E2A13" w:rsidP="009E2A13">
      <w:pPr>
        <w:pStyle w:val="Heading3"/>
      </w:pPr>
      <w:r>
        <w:t>Pull Quotes</w:t>
      </w:r>
    </w:p>
    <w:p w:rsidR="009E2A13" w:rsidRPr="005750D2" w:rsidRDefault="009E2A13" w:rsidP="009E2A13">
      <w:r>
        <w:t>9-26 words</w:t>
      </w:r>
    </w:p>
    <w:p w:rsidR="009E2A13" w:rsidRDefault="009E2A13" w:rsidP="009E2A13">
      <w:pPr>
        <w:pStyle w:val="Heading3"/>
      </w:pPr>
      <w:r>
        <w:t>References</w:t>
      </w:r>
    </w:p>
    <w:p w:rsidR="009E2A13" w:rsidRPr="00BA58A5" w:rsidRDefault="009E2A13" w:rsidP="009E2A13">
      <w:r>
        <w:t>5-28 citations</w:t>
      </w:r>
    </w:p>
    <w:p w:rsidR="009E2A13" w:rsidRDefault="009E2A13" w:rsidP="00423539">
      <w:bookmarkStart w:id="0" w:name="_GoBack"/>
      <w:bookmarkEnd w:id="0"/>
    </w:p>
    <w:sectPr w:rsidR="009E2A13" w:rsidSect="005427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256" w:rsidRDefault="00934256" w:rsidP="009D451F">
      <w:pPr>
        <w:spacing w:after="0" w:line="240" w:lineRule="auto"/>
      </w:pPr>
      <w:r>
        <w:separator/>
      </w:r>
    </w:p>
  </w:endnote>
  <w:endnote w:type="continuationSeparator" w:id="0">
    <w:p w:rsidR="00934256" w:rsidRDefault="00934256" w:rsidP="009D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256" w:rsidRDefault="00934256" w:rsidP="009D451F">
      <w:pPr>
        <w:spacing w:after="0" w:line="240" w:lineRule="auto"/>
      </w:pPr>
      <w:r>
        <w:separator/>
      </w:r>
    </w:p>
  </w:footnote>
  <w:footnote w:type="continuationSeparator" w:id="0">
    <w:p w:rsidR="00934256" w:rsidRDefault="00934256" w:rsidP="009D4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39"/>
    <w:rsid w:val="001B215C"/>
    <w:rsid w:val="001E7713"/>
    <w:rsid w:val="002B06DB"/>
    <w:rsid w:val="003345B6"/>
    <w:rsid w:val="0035211A"/>
    <w:rsid w:val="003C1A99"/>
    <w:rsid w:val="003E4FB5"/>
    <w:rsid w:val="00423539"/>
    <w:rsid w:val="00525FAB"/>
    <w:rsid w:val="0054272B"/>
    <w:rsid w:val="005545F3"/>
    <w:rsid w:val="005750D2"/>
    <w:rsid w:val="00582327"/>
    <w:rsid w:val="005930BF"/>
    <w:rsid w:val="006A5792"/>
    <w:rsid w:val="006D3917"/>
    <w:rsid w:val="007F3314"/>
    <w:rsid w:val="0085257E"/>
    <w:rsid w:val="00881AEC"/>
    <w:rsid w:val="0092218E"/>
    <w:rsid w:val="00934256"/>
    <w:rsid w:val="009A438D"/>
    <w:rsid w:val="009D451F"/>
    <w:rsid w:val="009E2A13"/>
    <w:rsid w:val="00A8518A"/>
    <w:rsid w:val="00CF50D5"/>
    <w:rsid w:val="00D452FC"/>
    <w:rsid w:val="00D52E3E"/>
    <w:rsid w:val="00DC78ED"/>
    <w:rsid w:val="00FC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1BE8"/>
  <w15:chartTrackingRefBased/>
  <w15:docId w15:val="{6E971E1A-1ADD-4F26-B5F0-B6A93496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50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0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2A13"/>
    <w:pPr>
      <w:keepNext/>
      <w:keepLines/>
      <w:spacing w:before="40" w:after="0"/>
      <w:outlineLvl w:val="2"/>
    </w:pPr>
    <w:rPr>
      <w:rFonts w:asciiTheme="majorHAnsi" w:eastAsiaTheme="majorEastAsia" w:hAnsiTheme="majorHAnsi" w:cstheme="majorBidi"/>
      <w:i/>
      <w:color w:val="171717" w:themeColor="background2" w:themeShade="1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51F"/>
  </w:style>
  <w:style w:type="paragraph" w:styleId="Footer">
    <w:name w:val="footer"/>
    <w:basedOn w:val="Normal"/>
    <w:link w:val="FooterChar"/>
    <w:uiPriority w:val="99"/>
    <w:unhideWhenUsed/>
    <w:rsid w:val="009D4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51F"/>
  </w:style>
  <w:style w:type="character" w:customStyle="1" w:styleId="Heading1Char">
    <w:name w:val="Heading 1 Char"/>
    <w:basedOn w:val="DefaultParagraphFont"/>
    <w:link w:val="Heading1"/>
    <w:uiPriority w:val="9"/>
    <w:rsid w:val="005750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50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E2A13"/>
    <w:rPr>
      <w:rFonts w:asciiTheme="majorHAnsi" w:eastAsiaTheme="majorEastAsia" w:hAnsiTheme="majorHAnsi" w:cstheme="majorBidi"/>
      <w:i/>
      <w:color w:val="171717" w:themeColor="background2" w:themeShade="1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4C8F5-9CAF-4B12-8497-F7FE2069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TAMU. Provost Office.</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Aymond, Annabelle Grace</dc:creator>
  <cp:keywords/>
  <dc:description/>
  <cp:lastModifiedBy>Aymond, Annabelle Grace</cp:lastModifiedBy>
  <cp:revision>21</cp:revision>
  <dcterms:created xsi:type="dcterms:W3CDTF">2021-03-01T21:49:00Z</dcterms:created>
  <dcterms:modified xsi:type="dcterms:W3CDTF">2021-03-08T19:22:00Z</dcterms:modified>
</cp:coreProperties>
</file>